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98" w:rsidRPr="005D2898" w:rsidRDefault="005D2898" w:rsidP="005D2898">
      <w:pPr>
        <w:widowControl w:val="0"/>
        <w:spacing w:after="0" w:line="276" w:lineRule="auto"/>
        <w:ind w:right="300"/>
        <w:rPr>
          <w:rFonts w:ascii="Calibri" w:eastAsia="Calibri" w:hAnsi="Calibri" w:cs="Calibri"/>
          <w:b/>
          <w:color w:val="FF0000"/>
          <w:sz w:val="28"/>
          <w:szCs w:val="28"/>
          <w:lang w:eastAsia="en-NZ"/>
        </w:rPr>
      </w:pPr>
    </w:p>
    <w:p w:rsidR="005D2898" w:rsidRDefault="005D2898" w:rsidP="005D2898">
      <w:pPr>
        <w:widowControl w:val="0"/>
        <w:spacing w:after="0" w:line="276" w:lineRule="auto"/>
        <w:ind w:left="555"/>
        <w:rPr>
          <w:rFonts w:ascii="Calibri" w:eastAsia="Calibri" w:hAnsi="Calibri" w:cs="Calibri"/>
          <w:b/>
          <w:color w:val="000000"/>
          <w:sz w:val="24"/>
          <w:szCs w:val="24"/>
          <w:lang w:eastAsia="en-NZ"/>
        </w:rPr>
      </w:pPr>
    </w:p>
    <w:bookmarkStart w:id="0" w:name="h.t216qdg6yaq2" w:colFirst="0" w:colLast="0"/>
    <w:bookmarkEnd w:id="0"/>
    <w:p w:rsidR="00DA3BC6" w:rsidRDefault="00DA3BC6" w:rsidP="005D2898">
      <w:pPr>
        <w:widowControl w:val="0"/>
        <w:spacing w:after="0" w:line="276" w:lineRule="auto"/>
        <w:ind w:left="555"/>
        <w:rPr>
          <w:rFonts w:ascii="Calibri" w:eastAsia="Calibri" w:hAnsi="Calibri" w:cs="Calibri"/>
          <w:b/>
          <w:color w:val="000000"/>
          <w:sz w:val="24"/>
          <w:szCs w:val="24"/>
          <w:lang w:eastAsia="en-NZ"/>
        </w:rPr>
      </w:pPr>
      <w:r w:rsidRPr="005D2898">
        <w:rPr>
          <w:rFonts w:ascii="Arial" w:eastAsia="Arial" w:hAnsi="Arial" w:cs="Arial"/>
          <w:noProof/>
          <w:color w:val="5B9BD5" w:themeColor="accent1"/>
          <w:lang w:eastAsia="en-NZ"/>
        </w:rPr>
        <mc:AlternateContent>
          <mc:Choice Requires="wpg">
            <w:drawing>
              <wp:anchor distT="45720" distB="45720" distL="182880" distR="182880" simplePos="0" relativeHeight="251659264" behindDoc="0" locked="0" layoutInCell="1" allowOverlap="1" wp14:anchorId="7834D710" wp14:editId="1E2B8B22">
                <wp:simplePos x="0" y="0"/>
                <wp:positionH relativeFrom="margin">
                  <wp:align>left</wp:align>
                </wp:positionH>
                <wp:positionV relativeFrom="margin">
                  <wp:posOffset>476885</wp:posOffset>
                </wp:positionV>
                <wp:extent cx="9258300" cy="11430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9258300" cy="1143000"/>
                          <a:chOff x="0" y="0"/>
                          <a:chExt cx="3567448" cy="1547125"/>
                        </a:xfrm>
                      </wpg:grpSpPr>
                      <wps:wsp>
                        <wps:cNvPr id="199" name="Rectangle 199"/>
                        <wps:cNvSpPr/>
                        <wps:spPr>
                          <a:xfrm>
                            <a:off x="0" y="0"/>
                            <a:ext cx="3567448" cy="515708"/>
                          </a:xfrm>
                          <a:prstGeom prst="rect">
                            <a:avLst/>
                          </a:prstGeom>
                          <a:solidFill>
                            <a:srgbClr val="5B9BD5"/>
                          </a:solidFill>
                          <a:ln w="12700" cap="flat" cmpd="sng" algn="ctr">
                            <a:noFill/>
                            <a:prstDash val="solid"/>
                            <a:miter lim="800000"/>
                          </a:ln>
                          <a:effectLst/>
                        </wps:spPr>
                        <wps:txbx>
                          <w:txbxContent>
                            <w:p w:rsidR="005D2898" w:rsidRPr="00D4422A" w:rsidRDefault="005D2898" w:rsidP="005D2898">
                              <w:pPr>
                                <w:jc w:val="center"/>
                                <w:rPr>
                                  <w:rFonts w:asciiTheme="majorHAnsi" w:eastAsiaTheme="majorEastAsia" w:hAnsiTheme="majorHAnsi" w:cstheme="majorBidi"/>
                                  <w:b/>
                                  <w:color w:val="FFFFFF" w:themeColor="background1"/>
                                  <w:sz w:val="24"/>
                                  <w:szCs w:val="28"/>
                                </w:rPr>
                              </w:pPr>
                              <w:r w:rsidRPr="00D4422A">
                                <w:rPr>
                                  <w:rFonts w:asciiTheme="majorHAnsi" w:eastAsiaTheme="majorEastAsia" w:hAnsiTheme="majorHAnsi" w:cstheme="majorBidi"/>
                                  <w:b/>
                                  <w:color w:val="FFFFFF" w:themeColor="background1"/>
                                  <w:sz w:val="24"/>
                                  <w:szCs w:val="28"/>
                                </w:rPr>
                                <w:t>Framework for Financial Capability</w:t>
                              </w:r>
                              <w:r w:rsidR="003E6897">
                                <w:rPr>
                                  <w:rFonts w:asciiTheme="majorHAnsi" w:eastAsiaTheme="majorEastAsia" w:hAnsiTheme="majorHAnsi" w:cstheme="majorBidi"/>
                                  <w:b/>
                                  <w:color w:val="FFFFFF" w:themeColor="background1"/>
                                  <w:sz w:val="24"/>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515708"/>
                            <a:ext cx="3567448" cy="1031417"/>
                          </a:xfrm>
                          <a:prstGeom prst="rect">
                            <a:avLst/>
                          </a:prstGeom>
                          <a:solidFill>
                            <a:srgbClr val="E7E6E6"/>
                          </a:solidFill>
                          <a:ln w="6350">
                            <a:noFill/>
                          </a:ln>
                          <a:effectLst/>
                        </wps:spPr>
                        <wps:txbx>
                          <w:txbxContent>
                            <w:p w:rsidR="00DA3BC6" w:rsidRDefault="00DA3BC6" w:rsidP="005D2898">
                              <w:pPr>
                                <w:ind w:left="720"/>
                                <w:rPr>
                                  <w:rFonts w:ascii="Calibri" w:eastAsia="Calibri" w:hAnsi="Calibri" w:cs="Calibri"/>
                                  <w:b/>
                                  <w:sz w:val="28"/>
                                  <w:szCs w:val="28"/>
                                </w:rPr>
                              </w:pPr>
                              <w:r>
                                <w:rPr>
                                  <w:rFonts w:ascii="Calibri" w:eastAsia="Calibri" w:hAnsi="Calibri" w:cs="Calibri"/>
                                  <w:b/>
                                  <w:sz w:val="28"/>
                                  <w:szCs w:val="28"/>
                                </w:rPr>
                                <w:t>Insert school name and logo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4D710" id="Group 198" o:spid="_x0000_s1026" style="position:absolute;left:0;text-align:left;margin-left:0;margin-top:37.55pt;width:729pt;height:90pt;z-index:251659264;mso-wrap-distance-left:14.4pt;mso-wrap-distance-top:3.6pt;mso-wrap-distance-right:14.4pt;mso-wrap-distance-bottom:3.6pt;mso-position-horizontal:left;mso-position-horizontal-relative:margin;mso-position-vertical-relative:margin;mso-width-relative:margin;mso-height-relative:margin" coordsize="35674,1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">
                <v:rect id="Rectangle 199" o:spid="_x0000_s1027" style="position:absolute;width:35674;height:5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rssMA&#10;AADcAAAADwAAAGRycy9kb3ducmV2LnhtbERPTUsDMRC9C/0PYQrebLKKtd02LaIoHqRg20OPw2a6&#10;u3QzWZKx3f57Iwje5vE+Z7kefKfOFFMb2EIxMaCIq+Bari3sd293M1BJkB12gcnClRKsV6ObJZYu&#10;XPiLzlupVQ7hVKKFRqQvtU5VQx7TJPTEmTuG6FEyjLV2ES853Hf63pip9thybmiwp5eGqtP221t4&#10;EvN6NQ+Hzed78RiPQ3GSadhbezsenheghAb5F/+5P1yeP5/D7zP5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crssMAAADcAAAADwAAAAAAAAAAAAAAAACYAgAAZHJzL2Rv&#10;d25yZXYueG1sUEsFBgAAAAAEAAQA9QAAAIgDAAAAAA==&#10;" fillcolor="#5b9bd5" stroked="f" strokeweight="1pt">
                  <v:textbox>
                    <w:txbxContent>
                      <w:p w:rsidR="005D2898" w:rsidRPr="00D4422A" w:rsidRDefault="005D2898" w:rsidP="005D2898">
                        <w:pPr>
                          <w:jc w:val="center"/>
                          <w:rPr>
                            <w:rFonts w:asciiTheme="majorHAnsi" w:eastAsiaTheme="majorEastAsia" w:hAnsiTheme="majorHAnsi" w:cstheme="majorBidi"/>
                            <w:b/>
                            <w:color w:val="FFFFFF" w:themeColor="background1"/>
                            <w:sz w:val="24"/>
                            <w:szCs w:val="28"/>
                          </w:rPr>
                        </w:pPr>
                        <w:r w:rsidRPr="00D4422A">
                          <w:rPr>
                            <w:rFonts w:asciiTheme="majorHAnsi" w:eastAsiaTheme="majorEastAsia" w:hAnsiTheme="majorHAnsi" w:cstheme="majorBidi"/>
                            <w:b/>
                            <w:color w:val="FFFFFF" w:themeColor="background1"/>
                            <w:sz w:val="24"/>
                            <w:szCs w:val="28"/>
                          </w:rPr>
                          <w:t>Framework for Financial Capability</w:t>
                        </w:r>
                        <w:r w:rsidR="003E6897">
                          <w:rPr>
                            <w:rFonts w:asciiTheme="majorHAnsi" w:eastAsiaTheme="majorEastAsia" w:hAnsiTheme="majorHAnsi" w:cstheme="majorBidi"/>
                            <w:b/>
                            <w:color w:val="FFFFFF" w:themeColor="background1"/>
                            <w:sz w:val="24"/>
                            <w:szCs w:val="28"/>
                          </w:rPr>
                          <w:t xml:space="preserve"> </w:t>
                        </w:r>
                      </w:p>
                    </w:txbxContent>
                  </v:textbox>
                </v:rect>
                <v:shapetype id="_x0000_t202" coordsize="21600,21600" o:spt="202" path="m,l,21600r21600,l21600,xe">
                  <v:stroke joinstyle="miter"/>
                  <v:path gradientshapeok="t" o:connecttype="rect"/>
                </v:shapetype>
                <v:shape id="Text Box 200" o:spid="_x0000_s1028" type="#_x0000_t202" style="position:absolute;top:5157;width:35674;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VrcUA&#10;AADcAAAADwAAAGRycy9kb3ducmV2LnhtbESPQWvCQBSE70L/w/IKvZlNPVhJs0ptaZXixdiD3h7Z&#10;1ySYfZtk1yT9911B8DjMzDdMuhpNLXrqXGVZwXMUgyDOra64UPBz+JwuQDiPrLG2TAr+yMFq+TBJ&#10;MdF24D31mS9EgLBLUEHpfZNI6fKSDLrINsTB+7WdQR9kV0jd4RDgppazOJ5LgxWHhRIbei8pP2cX&#10;o+Dlq+BZu8lO7ce6wWy3bY9u/q3U0+P49grC0+jv4Vt7qxUEIl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ZWtxQAAANwAAAAPAAAAAAAAAAAAAAAAAJgCAABkcnMv&#10;ZG93bnJldi54bWxQSwUGAAAAAAQABAD1AAAAigMAAAAA&#10;" fillcolor="#e7e6e6" stroked="f" strokeweight=".5pt">
                  <v:textbox inset=",7.2pt,,0">
                    <w:txbxContent>
                      <w:p w:rsidR="00DA3BC6" w:rsidRDefault="00DA3BC6" w:rsidP="005D2898">
                        <w:pPr>
                          <w:ind w:left="720"/>
                          <w:rPr>
                            <w:rFonts w:ascii="Calibri" w:eastAsia="Calibri" w:hAnsi="Calibri" w:cs="Calibri"/>
                            <w:b/>
                            <w:sz w:val="28"/>
                            <w:szCs w:val="28"/>
                          </w:rPr>
                        </w:pPr>
                        <w:r>
                          <w:rPr>
                            <w:rFonts w:ascii="Calibri" w:eastAsia="Calibri" w:hAnsi="Calibri" w:cs="Calibri"/>
                            <w:b/>
                            <w:sz w:val="28"/>
                            <w:szCs w:val="28"/>
                          </w:rPr>
                          <w:t>Insert school name and logo</w:t>
                        </w:r>
                      </w:p>
                    </w:txbxContent>
                  </v:textbox>
                </v:shape>
                <w10:wrap type="square" anchorx="margin" anchory="margin"/>
              </v:group>
            </w:pict>
          </mc:Fallback>
        </mc:AlternateContent>
      </w:r>
    </w:p>
    <w:p w:rsidR="00DA3BC6" w:rsidRDefault="00DA3BC6" w:rsidP="005D2898">
      <w:pPr>
        <w:widowControl w:val="0"/>
        <w:spacing w:after="0" w:line="276" w:lineRule="auto"/>
        <w:ind w:left="555"/>
        <w:rPr>
          <w:rFonts w:ascii="Calibri" w:eastAsia="Calibri" w:hAnsi="Calibri" w:cs="Calibri"/>
          <w:b/>
          <w:color w:val="000000"/>
          <w:sz w:val="24"/>
          <w:szCs w:val="24"/>
          <w:lang w:eastAsia="en-NZ"/>
        </w:rPr>
      </w:pPr>
    </w:p>
    <w:p w:rsidR="00DA3BC6" w:rsidRDefault="00DA3BC6" w:rsidP="005D2898">
      <w:pPr>
        <w:widowControl w:val="0"/>
        <w:spacing w:after="0" w:line="276" w:lineRule="auto"/>
        <w:ind w:left="555"/>
        <w:rPr>
          <w:rFonts w:ascii="Calibri" w:eastAsia="Calibri" w:hAnsi="Calibri" w:cs="Calibri"/>
          <w:b/>
          <w:color w:val="000000"/>
          <w:sz w:val="24"/>
          <w:szCs w:val="24"/>
          <w:lang w:eastAsia="en-NZ"/>
        </w:rPr>
      </w:pPr>
    </w:p>
    <w:p w:rsidR="00DA3BC6" w:rsidRDefault="00DA3BC6" w:rsidP="005D2898">
      <w:pPr>
        <w:widowControl w:val="0"/>
        <w:spacing w:after="0" w:line="276" w:lineRule="auto"/>
        <w:ind w:left="555"/>
        <w:rPr>
          <w:rFonts w:ascii="Calibri" w:eastAsia="Calibri" w:hAnsi="Calibri" w:cs="Calibri"/>
          <w:b/>
          <w:color w:val="000000"/>
          <w:sz w:val="24"/>
          <w:szCs w:val="24"/>
          <w:lang w:eastAsia="en-NZ"/>
        </w:rPr>
      </w:pPr>
    </w:p>
    <w:p w:rsidR="00DA3BC6" w:rsidRDefault="00DA3BC6" w:rsidP="005D2898">
      <w:pPr>
        <w:widowControl w:val="0"/>
        <w:spacing w:after="0" w:line="276" w:lineRule="auto"/>
        <w:ind w:left="555"/>
        <w:rPr>
          <w:rFonts w:ascii="Calibri" w:eastAsia="Calibri" w:hAnsi="Calibri" w:cs="Calibri"/>
          <w:b/>
          <w:color w:val="000000"/>
          <w:sz w:val="24"/>
          <w:szCs w:val="24"/>
          <w:lang w:eastAsia="en-NZ"/>
        </w:rPr>
      </w:pPr>
    </w:p>
    <w:p w:rsidR="00DA3BC6" w:rsidRDefault="00DA3BC6" w:rsidP="005D2898">
      <w:pPr>
        <w:widowControl w:val="0"/>
        <w:spacing w:after="0" w:line="276" w:lineRule="auto"/>
        <w:ind w:left="555"/>
        <w:rPr>
          <w:rFonts w:ascii="Calibri" w:eastAsia="Calibri" w:hAnsi="Calibri" w:cs="Calibri"/>
          <w:b/>
          <w:color w:val="000000"/>
          <w:sz w:val="24"/>
          <w:szCs w:val="24"/>
          <w:lang w:eastAsia="en-NZ"/>
        </w:rPr>
      </w:pPr>
    </w:p>
    <w:p w:rsidR="005D2898" w:rsidRPr="005D2898" w:rsidRDefault="005D2898" w:rsidP="005D2898">
      <w:pPr>
        <w:widowControl w:val="0"/>
        <w:spacing w:after="0" w:line="276" w:lineRule="auto"/>
        <w:rPr>
          <w:rFonts w:ascii="Arial" w:eastAsia="Arial" w:hAnsi="Arial" w:cs="Arial"/>
          <w:color w:val="000000"/>
          <w:lang w:eastAsia="en-NZ"/>
        </w:rPr>
      </w:pPr>
      <w:r w:rsidRPr="005D2898">
        <w:rPr>
          <w:rFonts w:ascii="Calibri" w:eastAsia="Calibri" w:hAnsi="Calibri" w:cs="Calibri"/>
          <w:color w:val="000000"/>
          <w:sz w:val="24"/>
          <w:szCs w:val="24"/>
          <w:lang w:eastAsia="en-NZ"/>
        </w:rPr>
        <w:t xml:space="preserve">Principal: </w:t>
      </w:r>
      <w:proofErr w:type="gramStart"/>
      <w:r w:rsidRPr="005D2898">
        <w:rPr>
          <w:rFonts w:ascii="Calibri" w:eastAsia="Calibri" w:hAnsi="Calibri" w:cs="Calibri"/>
          <w:color w:val="5B9BD5" w:themeColor="accent1"/>
          <w:sz w:val="24"/>
          <w:szCs w:val="24"/>
          <w:lang w:eastAsia="en-NZ"/>
        </w:rPr>
        <w:t>[ Insert</w:t>
      </w:r>
      <w:proofErr w:type="gramEnd"/>
      <w:r w:rsidRPr="005D2898">
        <w:rPr>
          <w:rFonts w:ascii="Calibri" w:eastAsia="Calibri" w:hAnsi="Calibri" w:cs="Calibri"/>
          <w:color w:val="5B9BD5" w:themeColor="accent1"/>
          <w:sz w:val="24"/>
          <w:szCs w:val="24"/>
          <w:lang w:eastAsia="en-NZ"/>
        </w:rPr>
        <w:t xml:space="preserve"> ]</w:t>
      </w:r>
    </w:p>
    <w:p w:rsidR="005D2898" w:rsidRPr="005D2898" w:rsidRDefault="005D2898" w:rsidP="005D2898">
      <w:pPr>
        <w:widowControl w:val="0"/>
        <w:spacing w:after="0" w:line="276" w:lineRule="auto"/>
        <w:rPr>
          <w:rFonts w:ascii="Arial" w:eastAsia="Arial" w:hAnsi="Arial" w:cs="Arial"/>
          <w:color w:val="000000"/>
          <w:lang w:eastAsia="en-NZ"/>
        </w:rPr>
      </w:pPr>
      <w:r w:rsidRPr="005D2898">
        <w:rPr>
          <w:rFonts w:ascii="Calibri" w:eastAsia="Calibri" w:hAnsi="Calibri" w:cs="Calibri"/>
          <w:color w:val="000000"/>
          <w:sz w:val="24"/>
          <w:szCs w:val="24"/>
          <w:lang w:eastAsia="en-NZ"/>
        </w:rPr>
        <w:t xml:space="preserve">Lead Teachers: </w:t>
      </w:r>
      <w:proofErr w:type="gramStart"/>
      <w:r w:rsidRPr="005D2898">
        <w:rPr>
          <w:rFonts w:ascii="Calibri" w:eastAsia="Calibri" w:hAnsi="Calibri" w:cs="Calibri"/>
          <w:color w:val="5B9BD5" w:themeColor="accent1"/>
          <w:sz w:val="24"/>
          <w:szCs w:val="24"/>
          <w:lang w:eastAsia="en-NZ"/>
        </w:rPr>
        <w:t>[ Insert</w:t>
      </w:r>
      <w:proofErr w:type="gramEnd"/>
      <w:r w:rsidRPr="005D2898">
        <w:rPr>
          <w:rFonts w:ascii="Calibri" w:eastAsia="Calibri" w:hAnsi="Calibri" w:cs="Calibri"/>
          <w:color w:val="5B9BD5" w:themeColor="accent1"/>
          <w:sz w:val="24"/>
          <w:szCs w:val="24"/>
          <w:lang w:eastAsia="en-NZ"/>
        </w:rPr>
        <w:t xml:space="preserve"> ]</w:t>
      </w:r>
    </w:p>
    <w:p w:rsidR="005D2898" w:rsidRPr="005D2898" w:rsidRDefault="005D2898" w:rsidP="005D2898">
      <w:pPr>
        <w:widowControl w:val="0"/>
        <w:spacing w:after="0" w:line="276" w:lineRule="auto"/>
        <w:rPr>
          <w:rFonts w:ascii="Arial" w:eastAsia="Arial" w:hAnsi="Arial" w:cs="Arial"/>
          <w:color w:val="000000"/>
          <w:lang w:eastAsia="en-NZ"/>
        </w:rPr>
      </w:pPr>
      <w:r w:rsidRPr="005D2898">
        <w:rPr>
          <w:rFonts w:ascii="Calibri" w:eastAsia="Calibri" w:hAnsi="Calibri" w:cs="Calibri"/>
          <w:color w:val="000000"/>
          <w:sz w:val="24"/>
          <w:szCs w:val="24"/>
          <w:lang w:eastAsia="en-NZ"/>
        </w:rPr>
        <w:t xml:space="preserve">Student Target Group </w:t>
      </w:r>
      <w:proofErr w:type="gramStart"/>
      <w:r w:rsidRPr="005D2898">
        <w:rPr>
          <w:rFonts w:ascii="Calibri" w:eastAsia="Calibri" w:hAnsi="Calibri" w:cs="Calibri"/>
          <w:color w:val="5B9BD5" w:themeColor="accent1"/>
          <w:sz w:val="24"/>
          <w:szCs w:val="24"/>
          <w:lang w:eastAsia="en-NZ"/>
        </w:rPr>
        <w:t>[ Insert</w:t>
      </w:r>
      <w:proofErr w:type="gramEnd"/>
      <w:r w:rsidRPr="005D2898">
        <w:rPr>
          <w:rFonts w:ascii="Calibri" w:eastAsia="Calibri" w:hAnsi="Calibri" w:cs="Calibri"/>
          <w:color w:val="5B9BD5" w:themeColor="accent1"/>
          <w:sz w:val="24"/>
          <w:szCs w:val="24"/>
          <w:lang w:eastAsia="en-NZ"/>
        </w:rPr>
        <w:t xml:space="preserve"> ]</w:t>
      </w:r>
    </w:p>
    <w:p w:rsidR="005D2898" w:rsidRPr="005D2898" w:rsidRDefault="005D2898" w:rsidP="005D2898">
      <w:pPr>
        <w:spacing w:after="0" w:line="276" w:lineRule="auto"/>
        <w:rPr>
          <w:rFonts w:ascii="Arial" w:eastAsia="Arial" w:hAnsi="Arial" w:cs="Arial"/>
          <w:color w:val="000000"/>
          <w:lang w:eastAsia="en-NZ"/>
        </w:rPr>
      </w:pPr>
      <w:bookmarkStart w:id="1" w:name="h.gzkzv2eqs3mm" w:colFirst="0" w:colLast="0"/>
      <w:bookmarkStart w:id="2" w:name="h.vo3fy0isnw98" w:colFirst="0" w:colLast="0"/>
      <w:bookmarkStart w:id="3" w:name="h.nq0culv7j34p" w:colFirst="0" w:colLast="0"/>
      <w:bookmarkStart w:id="4" w:name="h.lhgs6oy82ykr" w:colFirst="0" w:colLast="0"/>
      <w:bookmarkStart w:id="5" w:name="h.5rycwjpa09x5" w:colFirst="0" w:colLast="0"/>
      <w:bookmarkStart w:id="6" w:name="h.ex77hc1zlz8g" w:colFirst="0" w:colLast="0"/>
      <w:bookmarkEnd w:id="1"/>
      <w:bookmarkEnd w:id="2"/>
      <w:bookmarkEnd w:id="3"/>
      <w:bookmarkEnd w:id="4"/>
      <w:bookmarkEnd w:id="5"/>
      <w:bookmarkEnd w:id="6"/>
    </w:p>
    <w:p w:rsidR="003E6897" w:rsidRPr="005D2898" w:rsidRDefault="005D2898" w:rsidP="005D2898">
      <w:pPr>
        <w:spacing w:after="0" w:line="276" w:lineRule="auto"/>
        <w:rPr>
          <w:rFonts w:ascii="Calibri" w:eastAsia="Calibri" w:hAnsi="Calibri" w:cs="Calibri"/>
          <w:color w:val="5B9BD5" w:themeColor="accent1"/>
          <w:sz w:val="24"/>
          <w:szCs w:val="24"/>
          <w:lang w:eastAsia="en-NZ"/>
        </w:rPr>
      </w:pPr>
      <w:r w:rsidRPr="005D2898">
        <w:rPr>
          <w:rFonts w:ascii="Calibri" w:eastAsia="Calibri" w:hAnsi="Calibri" w:cs="Calibri"/>
          <w:b/>
          <w:color w:val="000000"/>
          <w:sz w:val="24"/>
          <w:szCs w:val="24"/>
          <w:lang w:eastAsia="en-NZ"/>
        </w:rPr>
        <w:t>Time frame for implementation</w:t>
      </w:r>
      <w:r>
        <w:rPr>
          <w:rFonts w:ascii="Calibri" w:eastAsia="Calibri" w:hAnsi="Calibri" w:cs="Calibri"/>
          <w:b/>
          <w:color w:val="000000"/>
          <w:sz w:val="24"/>
          <w:szCs w:val="24"/>
          <w:lang w:eastAsia="en-NZ"/>
        </w:rPr>
        <w:t xml:space="preserve"> </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9210"/>
      </w:tblGrid>
      <w:tr w:rsidR="005D2898" w:rsidRPr="005D2898" w:rsidTr="009D04DF">
        <w:tc>
          <w:tcPr>
            <w:tcW w:w="5386" w:type="dxa"/>
          </w:tcPr>
          <w:p w:rsidR="005D2898" w:rsidRPr="00C5721C" w:rsidRDefault="005D2898" w:rsidP="005D2898">
            <w:pPr>
              <w:spacing w:after="0" w:line="240" w:lineRule="auto"/>
              <w:rPr>
                <w:rFonts w:ascii="Calibri" w:eastAsia="Calibri" w:hAnsi="Calibri" w:cs="Calibri"/>
                <w:color w:val="000000"/>
                <w:lang w:eastAsia="en-NZ"/>
              </w:rPr>
            </w:pPr>
            <w:r w:rsidRPr="00C5721C">
              <w:rPr>
                <w:rFonts w:ascii="Calibri" w:eastAsia="Calibri" w:hAnsi="Calibri" w:cs="Calibri"/>
                <w:color w:val="000000"/>
                <w:lang w:eastAsia="en-NZ"/>
              </w:rPr>
              <w:t>Sharing with Principal / Senior Management</w:t>
            </w:r>
          </w:p>
          <w:p w:rsidR="005D2898" w:rsidRPr="00C5721C" w:rsidRDefault="005D2898" w:rsidP="005D2898">
            <w:pPr>
              <w:spacing w:after="0" w:line="240" w:lineRule="auto"/>
              <w:rPr>
                <w:rFonts w:ascii="Calibri" w:eastAsia="Calibri" w:hAnsi="Calibri" w:cs="Calibri"/>
                <w:color w:val="000000"/>
                <w:lang w:eastAsia="en-NZ"/>
              </w:rPr>
            </w:pPr>
          </w:p>
        </w:tc>
        <w:tc>
          <w:tcPr>
            <w:tcW w:w="9210" w:type="dxa"/>
          </w:tcPr>
          <w:p w:rsidR="005D2898" w:rsidRPr="00C5721C" w:rsidRDefault="005D2898" w:rsidP="005D2898">
            <w:pPr>
              <w:spacing w:after="0" w:line="240" w:lineRule="auto"/>
              <w:rPr>
                <w:rFonts w:ascii="Calibri" w:eastAsia="Calibri" w:hAnsi="Calibri" w:cs="Calibri"/>
                <w:color w:val="000000"/>
                <w:lang w:eastAsia="en-NZ"/>
              </w:rPr>
            </w:pPr>
          </w:p>
        </w:tc>
      </w:tr>
      <w:tr w:rsidR="005D2898" w:rsidRPr="005D2898" w:rsidTr="009D04DF">
        <w:tc>
          <w:tcPr>
            <w:tcW w:w="5386" w:type="dxa"/>
          </w:tcPr>
          <w:p w:rsidR="005D2898" w:rsidRPr="00C5721C" w:rsidRDefault="005D2898" w:rsidP="005D2898">
            <w:pPr>
              <w:spacing w:after="0" w:line="240" w:lineRule="auto"/>
              <w:rPr>
                <w:rFonts w:ascii="Calibri" w:eastAsia="Calibri" w:hAnsi="Calibri" w:cs="Calibri"/>
                <w:color w:val="000000"/>
                <w:lang w:eastAsia="en-NZ"/>
              </w:rPr>
            </w:pPr>
            <w:r w:rsidRPr="00C5721C">
              <w:rPr>
                <w:rFonts w:ascii="Calibri" w:eastAsia="Calibri" w:hAnsi="Calibri" w:cs="Calibri"/>
                <w:color w:val="000000"/>
                <w:lang w:eastAsia="en-NZ"/>
              </w:rPr>
              <w:t>Sharing with Staff</w:t>
            </w:r>
          </w:p>
          <w:p w:rsidR="005D2898" w:rsidRPr="00C5721C" w:rsidRDefault="005D2898" w:rsidP="005D2898">
            <w:pPr>
              <w:spacing w:after="0" w:line="240" w:lineRule="auto"/>
              <w:rPr>
                <w:rFonts w:ascii="Calibri" w:eastAsia="Calibri" w:hAnsi="Calibri" w:cs="Calibri"/>
                <w:color w:val="000000"/>
                <w:lang w:eastAsia="en-NZ"/>
              </w:rPr>
            </w:pPr>
          </w:p>
        </w:tc>
        <w:tc>
          <w:tcPr>
            <w:tcW w:w="9210" w:type="dxa"/>
          </w:tcPr>
          <w:p w:rsidR="005D2898" w:rsidRPr="00C5721C" w:rsidRDefault="005D2898" w:rsidP="005D2898">
            <w:pPr>
              <w:spacing w:after="0" w:line="240" w:lineRule="auto"/>
              <w:rPr>
                <w:rFonts w:ascii="Calibri" w:eastAsia="Calibri" w:hAnsi="Calibri" w:cs="Calibri"/>
                <w:color w:val="000000"/>
                <w:lang w:eastAsia="en-NZ"/>
              </w:rPr>
            </w:pPr>
          </w:p>
        </w:tc>
      </w:tr>
      <w:tr w:rsidR="005D2898" w:rsidRPr="005D2898" w:rsidTr="009D04DF">
        <w:tc>
          <w:tcPr>
            <w:tcW w:w="5386" w:type="dxa"/>
          </w:tcPr>
          <w:p w:rsidR="005D2898" w:rsidRPr="00C5721C" w:rsidRDefault="005D2898" w:rsidP="005D2898">
            <w:pPr>
              <w:spacing w:after="0" w:line="240" w:lineRule="auto"/>
              <w:rPr>
                <w:rFonts w:ascii="Calibri" w:eastAsia="Calibri" w:hAnsi="Calibri" w:cs="Calibri"/>
                <w:color w:val="000000"/>
                <w:lang w:eastAsia="en-NZ"/>
              </w:rPr>
            </w:pPr>
            <w:r w:rsidRPr="00C5721C">
              <w:rPr>
                <w:rFonts w:ascii="Calibri" w:eastAsia="Calibri" w:hAnsi="Calibri" w:cs="Calibri"/>
                <w:color w:val="000000"/>
                <w:lang w:eastAsia="en-NZ"/>
              </w:rPr>
              <w:t>Sharing with Board of Trustees</w:t>
            </w:r>
          </w:p>
          <w:p w:rsidR="005D2898" w:rsidRPr="00C5721C" w:rsidRDefault="005D2898" w:rsidP="005D2898">
            <w:pPr>
              <w:spacing w:after="0" w:line="240" w:lineRule="auto"/>
              <w:rPr>
                <w:rFonts w:ascii="Calibri" w:eastAsia="Calibri" w:hAnsi="Calibri" w:cs="Calibri"/>
                <w:color w:val="000000"/>
                <w:lang w:eastAsia="en-NZ"/>
              </w:rPr>
            </w:pPr>
          </w:p>
        </w:tc>
        <w:tc>
          <w:tcPr>
            <w:tcW w:w="9210" w:type="dxa"/>
          </w:tcPr>
          <w:p w:rsidR="005D2898" w:rsidRPr="00C5721C" w:rsidRDefault="005D2898" w:rsidP="005D2898">
            <w:pPr>
              <w:spacing w:after="0" w:line="240" w:lineRule="auto"/>
              <w:rPr>
                <w:rFonts w:ascii="Calibri" w:eastAsia="Calibri" w:hAnsi="Calibri" w:cs="Calibri"/>
                <w:color w:val="000000"/>
                <w:lang w:eastAsia="en-NZ"/>
              </w:rPr>
            </w:pPr>
          </w:p>
        </w:tc>
      </w:tr>
      <w:tr w:rsidR="005D2898" w:rsidRPr="005D2898" w:rsidTr="009D04DF">
        <w:tc>
          <w:tcPr>
            <w:tcW w:w="5386" w:type="dxa"/>
          </w:tcPr>
          <w:p w:rsidR="005D2898" w:rsidRPr="00C5721C" w:rsidRDefault="005D2898" w:rsidP="005D2898">
            <w:pPr>
              <w:spacing w:after="0" w:line="240" w:lineRule="auto"/>
              <w:rPr>
                <w:rFonts w:ascii="Calibri" w:eastAsia="Calibri" w:hAnsi="Calibri" w:cs="Calibri"/>
                <w:color w:val="000000"/>
                <w:lang w:eastAsia="en-NZ"/>
              </w:rPr>
            </w:pPr>
            <w:r w:rsidRPr="00C5721C">
              <w:rPr>
                <w:rFonts w:ascii="Calibri" w:eastAsia="Calibri" w:hAnsi="Calibri" w:cs="Calibri"/>
                <w:color w:val="000000"/>
                <w:lang w:eastAsia="en-NZ"/>
              </w:rPr>
              <w:t xml:space="preserve">Sharing with Community </w:t>
            </w:r>
          </w:p>
          <w:p w:rsidR="005D2898" w:rsidRPr="00C5721C" w:rsidRDefault="005D2898" w:rsidP="005D2898">
            <w:pPr>
              <w:spacing w:after="0" w:line="240" w:lineRule="auto"/>
              <w:rPr>
                <w:rFonts w:ascii="Calibri" w:eastAsia="Calibri" w:hAnsi="Calibri" w:cs="Calibri"/>
                <w:color w:val="000000"/>
                <w:lang w:eastAsia="en-NZ"/>
              </w:rPr>
            </w:pPr>
          </w:p>
        </w:tc>
        <w:tc>
          <w:tcPr>
            <w:tcW w:w="9210" w:type="dxa"/>
          </w:tcPr>
          <w:p w:rsidR="005D2898" w:rsidRPr="00C5721C" w:rsidRDefault="005D2898" w:rsidP="005D2898">
            <w:pPr>
              <w:spacing w:after="0" w:line="240" w:lineRule="auto"/>
              <w:rPr>
                <w:rFonts w:ascii="Calibri" w:eastAsia="Calibri" w:hAnsi="Calibri" w:cs="Calibri"/>
                <w:color w:val="000000"/>
                <w:lang w:eastAsia="en-NZ"/>
              </w:rPr>
            </w:pPr>
          </w:p>
        </w:tc>
      </w:tr>
      <w:tr w:rsidR="005D2898" w:rsidRPr="005D2898" w:rsidTr="009D04DF">
        <w:tc>
          <w:tcPr>
            <w:tcW w:w="5386" w:type="dxa"/>
          </w:tcPr>
          <w:p w:rsidR="005D2898" w:rsidRPr="00C5721C" w:rsidRDefault="005D2898" w:rsidP="005D2898">
            <w:pPr>
              <w:spacing w:after="0" w:line="240" w:lineRule="auto"/>
              <w:rPr>
                <w:rFonts w:ascii="Calibri" w:eastAsia="Calibri" w:hAnsi="Calibri" w:cs="Calibri"/>
                <w:color w:val="000000"/>
                <w:lang w:eastAsia="en-NZ"/>
              </w:rPr>
            </w:pPr>
            <w:r w:rsidRPr="00C5721C">
              <w:rPr>
                <w:rFonts w:ascii="Calibri" w:eastAsia="Calibri" w:hAnsi="Calibri" w:cs="Calibri"/>
                <w:color w:val="000000"/>
                <w:lang w:eastAsia="en-NZ"/>
              </w:rPr>
              <w:t>Reflect in school documentation</w:t>
            </w:r>
          </w:p>
          <w:p w:rsidR="005D2898" w:rsidRPr="00C5721C" w:rsidRDefault="005D2898" w:rsidP="005D2898">
            <w:pPr>
              <w:spacing w:after="0" w:line="240" w:lineRule="auto"/>
              <w:rPr>
                <w:rFonts w:ascii="Calibri" w:eastAsia="Calibri" w:hAnsi="Calibri" w:cs="Calibri"/>
                <w:color w:val="000000"/>
                <w:lang w:eastAsia="en-NZ"/>
              </w:rPr>
            </w:pPr>
          </w:p>
        </w:tc>
        <w:tc>
          <w:tcPr>
            <w:tcW w:w="9210" w:type="dxa"/>
          </w:tcPr>
          <w:p w:rsidR="005D2898" w:rsidRPr="00C5721C" w:rsidRDefault="005D2898" w:rsidP="005D2898">
            <w:pPr>
              <w:spacing w:after="0" w:line="240" w:lineRule="auto"/>
              <w:rPr>
                <w:rFonts w:ascii="Calibri" w:eastAsia="Calibri" w:hAnsi="Calibri" w:cs="Calibri"/>
                <w:color w:val="000000"/>
                <w:lang w:eastAsia="en-NZ"/>
              </w:rPr>
            </w:pPr>
          </w:p>
        </w:tc>
      </w:tr>
    </w:tbl>
    <w:p w:rsidR="005D2898" w:rsidRPr="005D2898" w:rsidRDefault="005D2898" w:rsidP="005D2898">
      <w:pPr>
        <w:spacing w:after="0" w:line="276" w:lineRule="auto"/>
        <w:rPr>
          <w:rFonts w:ascii="Arial" w:eastAsia="Arial" w:hAnsi="Arial" w:cs="Arial"/>
          <w:color w:val="000000"/>
          <w:lang w:eastAsia="en-NZ"/>
        </w:rPr>
      </w:pPr>
    </w:p>
    <w:p w:rsidR="005D2898" w:rsidRPr="005D2898" w:rsidRDefault="005D2898" w:rsidP="005D2898">
      <w:pPr>
        <w:spacing w:after="0" w:line="276" w:lineRule="auto"/>
        <w:rPr>
          <w:rFonts w:ascii="Arial" w:eastAsia="Arial" w:hAnsi="Arial" w:cs="Arial"/>
          <w:b/>
          <w:color w:val="000000"/>
          <w:lang w:eastAsia="en-NZ"/>
        </w:rPr>
      </w:pPr>
    </w:p>
    <w:p w:rsidR="001A445E" w:rsidRDefault="009D04DF" w:rsidP="00402F97">
      <w:pPr>
        <w:rPr>
          <w:rFonts w:eastAsia="Ubuntu" w:cs="Ubuntu"/>
          <w:b/>
          <w:sz w:val="24"/>
          <w:szCs w:val="24"/>
        </w:rPr>
      </w:pPr>
      <w:r>
        <w:rPr>
          <w:rFonts w:eastAsia="Ubuntu" w:cs="Ubuntu"/>
          <w:b/>
          <w:sz w:val="24"/>
          <w:szCs w:val="24"/>
        </w:rPr>
        <w:lastRenderedPageBreak/>
        <w:t>The five phases of f</w:t>
      </w:r>
      <w:r w:rsidR="00402F97" w:rsidRPr="0057486C">
        <w:rPr>
          <w:rFonts w:eastAsia="Ubuntu" w:cs="Ubuntu"/>
          <w:b/>
          <w:sz w:val="24"/>
          <w:szCs w:val="24"/>
        </w:rPr>
        <w:t xml:space="preserve">inancial </w:t>
      </w:r>
      <w:r>
        <w:rPr>
          <w:rFonts w:eastAsia="Ubuntu" w:cs="Ubuntu"/>
          <w:b/>
          <w:sz w:val="24"/>
          <w:szCs w:val="24"/>
        </w:rPr>
        <w:t>capability</w:t>
      </w:r>
    </w:p>
    <w:tbl>
      <w:tblPr>
        <w:tblStyle w:val="TableGrid"/>
        <w:tblW w:w="0" w:type="auto"/>
        <w:tblLayout w:type="fixed"/>
        <w:tblLook w:val="04A0" w:firstRow="1" w:lastRow="0" w:firstColumn="1" w:lastColumn="0" w:noHBand="0" w:noVBand="1"/>
      </w:tblPr>
      <w:tblGrid>
        <w:gridCol w:w="3093"/>
        <w:gridCol w:w="3094"/>
        <w:gridCol w:w="3093"/>
        <w:gridCol w:w="3094"/>
        <w:gridCol w:w="3094"/>
      </w:tblGrid>
      <w:tr w:rsidR="001A445E" w:rsidTr="009D04DF">
        <w:trPr>
          <w:trHeight w:val="1070"/>
        </w:trPr>
        <w:tc>
          <w:tcPr>
            <w:tcW w:w="3093" w:type="dxa"/>
          </w:tcPr>
          <w:p w:rsidR="001A445E" w:rsidRDefault="001A445E" w:rsidP="00402F97">
            <w:pPr>
              <w:rPr>
                <w:rFonts w:eastAsia="Ubuntu" w:cs="Ubuntu"/>
                <w:b/>
                <w:sz w:val="24"/>
                <w:szCs w:val="24"/>
              </w:rPr>
            </w:pPr>
            <w:r>
              <w:rPr>
                <w:rFonts w:eastAsia="Ubuntu" w:cs="Ubuntu"/>
                <w:b/>
                <w:sz w:val="24"/>
                <w:szCs w:val="24"/>
              </w:rPr>
              <w:t>Pre-emerging</w:t>
            </w:r>
          </w:p>
          <w:p w:rsidR="0076031D" w:rsidRPr="003E6897" w:rsidRDefault="0076031D" w:rsidP="00402F97">
            <w:pPr>
              <w:rPr>
                <w:rFonts w:asciiTheme="majorHAnsi" w:eastAsia="Ubuntu" w:hAnsiTheme="majorHAnsi" w:cs="Ubuntu"/>
                <w:b/>
                <w:sz w:val="20"/>
                <w:szCs w:val="20"/>
              </w:rPr>
            </w:pPr>
            <w:r w:rsidRPr="00C5721C">
              <w:rPr>
                <w:rFonts w:asciiTheme="majorHAnsi" w:eastAsia="Ubuntu" w:hAnsiTheme="majorHAnsi" w:cs="Ubuntu"/>
                <w:sz w:val="20"/>
                <w:szCs w:val="20"/>
              </w:rPr>
              <w:t>Preparing to engage with financial capability learning</w:t>
            </w:r>
            <w:r w:rsidR="003E6897">
              <w:rPr>
                <w:rFonts w:asciiTheme="majorHAnsi" w:eastAsia="Ubuntu" w:hAnsiTheme="majorHAnsi" w:cs="Ubuntu"/>
                <w:b/>
                <w:sz w:val="20"/>
                <w:szCs w:val="20"/>
              </w:rPr>
              <w:t>.</w:t>
            </w:r>
          </w:p>
          <w:p w:rsidR="0076031D" w:rsidRPr="0076031D" w:rsidRDefault="0076031D" w:rsidP="00402F97">
            <w:pPr>
              <w:rPr>
                <w:rFonts w:asciiTheme="majorHAnsi" w:eastAsia="Ubuntu" w:hAnsiTheme="majorHAnsi" w:cs="Ubuntu"/>
                <w:b/>
                <w:sz w:val="20"/>
                <w:szCs w:val="20"/>
              </w:rPr>
            </w:pPr>
          </w:p>
        </w:tc>
        <w:tc>
          <w:tcPr>
            <w:tcW w:w="3094" w:type="dxa"/>
          </w:tcPr>
          <w:p w:rsidR="001A445E" w:rsidRDefault="001A445E" w:rsidP="00402F97">
            <w:pPr>
              <w:rPr>
                <w:rFonts w:eastAsia="Ubuntu" w:cs="Ubuntu"/>
                <w:b/>
                <w:sz w:val="24"/>
                <w:szCs w:val="24"/>
              </w:rPr>
            </w:pPr>
            <w:r>
              <w:rPr>
                <w:rFonts w:eastAsia="Ubuntu" w:cs="Ubuntu"/>
                <w:b/>
                <w:sz w:val="24"/>
                <w:szCs w:val="24"/>
              </w:rPr>
              <w:t>Emerging</w:t>
            </w:r>
          </w:p>
          <w:p w:rsidR="0076031D" w:rsidRPr="00C5721C" w:rsidRDefault="0076031D" w:rsidP="00402F97">
            <w:pPr>
              <w:rPr>
                <w:rFonts w:asciiTheme="majorHAnsi" w:eastAsia="Ubuntu" w:hAnsiTheme="majorHAnsi" w:cs="Ubuntu"/>
                <w:sz w:val="20"/>
                <w:szCs w:val="20"/>
              </w:rPr>
            </w:pPr>
            <w:r w:rsidRPr="00C5721C">
              <w:rPr>
                <w:rFonts w:asciiTheme="majorHAnsi" w:eastAsia="Ubuntu" w:hAnsiTheme="majorHAnsi" w:cs="Ubuntu"/>
                <w:sz w:val="20"/>
                <w:szCs w:val="20"/>
              </w:rPr>
              <w:t>Investigate, raise awareness</w:t>
            </w:r>
            <w:r w:rsidR="00C5721C" w:rsidRPr="00C5721C">
              <w:rPr>
                <w:rFonts w:asciiTheme="majorHAnsi" w:eastAsia="Ubuntu" w:hAnsiTheme="majorHAnsi" w:cs="Ubuntu"/>
                <w:sz w:val="20"/>
                <w:szCs w:val="20"/>
              </w:rPr>
              <w:t>,</w:t>
            </w:r>
            <w:r w:rsidRPr="00C5721C">
              <w:rPr>
                <w:rFonts w:asciiTheme="majorHAnsi" w:eastAsia="Ubuntu" w:hAnsiTheme="majorHAnsi" w:cs="Ubuntu"/>
                <w:sz w:val="20"/>
                <w:szCs w:val="20"/>
              </w:rPr>
              <w:t xml:space="preserve"> and plan financial capability learning</w:t>
            </w:r>
            <w:r w:rsidR="003E6897" w:rsidRPr="00C5721C">
              <w:rPr>
                <w:rFonts w:asciiTheme="majorHAnsi" w:eastAsia="Ubuntu" w:hAnsiTheme="majorHAnsi" w:cs="Ubuntu"/>
                <w:sz w:val="20"/>
                <w:szCs w:val="20"/>
              </w:rPr>
              <w:t>/teaching.</w:t>
            </w:r>
          </w:p>
        </w:tc>
        <w:tc>
          <w:tcPr>
            <w:tcW w:w="3093" w:type="dxa"/>
          </w:tcPr>
          <w:p w:rsidR="001A445E" w:rsidRDefault="001A445E" w:rsidP="00402F97">
            <w:pPr>
              <w:rPr>
                <w:rFonts w:eastAsia="Ubuntu" w:cs="Ubuntu"/>
                <w:b/>
                <w:sz w:val="24"/>
                <w:szCs w:val="24"/>
              </w:rPr>
            </w:pPr>
            <w:r>
              <w:rPr>
                <w:rFonts w:eastAsia="Ubuntu" w:cs="Ubuntu"/>
                <w:b/>
                <w:sz w:val="24"/>
                <w:szCs w:val="24"/>
              </w:rPr>
              <w:t>Engaging</w:t>
            </w:r>
          </w:p>
          <w:p w:rsidR="003E6897" w:rsidRPr="00C5721C" w:rsidRDefault="003E6897" w:rsidP="00402F97">
            <w:pPr>
              <w:rPr>
                <w:rFonts w:asciiTheme="majorHAnsi" w:eastAsia="Ubuntu" w:hAnsiTheme="majorHAnsi" w:cs="Ubuntu"/>
                <w:sz w:val="20"/>
                <w:szCs w:val="20"/>
              </w:rPr>
            </w:pPr>
            <w:r w:rsidRPr="00C5721C">
              <w:rPr>
                <w:rFonts w:asciiTheme="majorHAnsi" w:eastAsia="Ubuntu" w:hAnsiTheme="majorHAnsi" w:cs="Ubuntu"/>
                <w:sz w:val="20"/>
                <w:szCs w:val="20"/>
              </w:rPr>
              <w:t>Trial and establish</w:t>
            </w:r>
          </w:p>
          <w:p w:rsidR="003E6897" w:rsidRDefault="003E6897" w:rsidP="00402F97">
            <w:pPr>
              <w:rPr>
                <w:rFonts w:eastAsia="Ubuntu" w:cs="Ubuntu"/>
                <w:b/>
                <w:sz w:val="24"/>
                <w:szCs w:val="24"/>
              </w:rPr>
            </w:pPr>
            <w:proofErr w:type="gramStart"/>
            <w:r w:rsidRPr="00C5721C">
              <w:rPr>
                <w:rFonts w:asciiTheme="majorHAnsi" w:eastAsia="Ubuntu" w:hAnsiTheme="majorHAnsi" w:cs="Ubuntu"/>
                <w:sz w:val="20"/>
                <w:szCs w:val="20"/>
              </w:rPr>
              <w:t>learning</w:t>
            </w:r>
            <w:proofErr w:type="gramEnd"/>
            <w:r w:rsidRPr="00C5721C">
              <w:rPr>
                <w:rFonts w:asciiTheme="majorHAnsi" w:eastAsia="Ubuntu" w:hAnsiTheme="majorHAnsi" w:cs="Ubuntu"/>
                <w:sz w:val="20"/>
                <w:szCs w:val="20"/>
              </w:rPr>
              <w:t xml:space="preserve"> and teaching of financial capability.</w:t>
            </w:r>
          </w:p>
        </w:tc>
        <w:tc>
          <w:tcPr>
            <w:tcW w:w="3094" w:type="dxa"/>
          </w:tcPr>
          <w:p w:rsidR="001A445E" w:rsidRDefault="001A445E" w:rsidP="00402F97">
            <w:pPr>
              <w:rPr>
                <w:rFonts w:eastAsia="Ubuntu" w:cs="Ubuntu"/>
                <w:b/>
                <w:sz w:val="24"/>
                <w:szCs w:val="24"/>
              </w:rPr>
            </w:pPr>
            <w:r>
              <w:rPr>
                <w:rFonts w:eastAsia="Ubuntu" w:cs="Ubuntu"/>
                <w:b/>
                <w:sz w:val="24"/>
                <w:szCs w:val="24"/>
              </w:rPr>
              <w:t>Extending</w:t>
            </w:r>
          </w:p>
          <w:p w:rsidR="003E6897" w:rsidRPr="00C5721C" w:rsidRDefault="003E6897" w:rsidP="00402F97">
            <w:pPr>
              <w:rPr>
                <w:rFonts w:asciiTheme="majorHAnsi" w:eastAsia="Ubuntu" w:hAnsiTheme="majorHAnsi" w:cs="Ubuntu"/>
                <w:sz w:val="20"/>
                <w:szCs w:val="20"/>
              </w:rPr>
            </w:pPr>
            <w:r w:rsidRPr="00C5721C">
              <w:rPr>
                <w:rFonts w:asciiTheme="majorHAnsi" w:eastAsia="Ubuntu" w:hAnsiTheme="majorHAnsi" w:cs="Ubuntu"/>
                <w:sz w:val="20"/>
                <w:szCs w:val="20"/>
              </w:rPr>
              <w:t>Align vision, processes</w:t>
            </w:r>
            <w:r w:rsidR="00C5721C" w:rsidRPr="00C5721C">
              <w:rPr>
                <w:rFonts w:asciiTheme="majorHAnsi" w:eastAsia="Ubuntu" w:hAnsiTheme="majorHAnsi" w:cs="Ubuntu"/>
                <w:sz w:val="20"/>
                <w:szCs w:val="20"/>
              </w:rPr>
              <w:t>,</w:t>
            </w:r>
            <w:r w:rsidRPr="00C5721C">
              <w:rPr>
                <w:rFonts w:asciiTheme="majorHAnsi" w:eastAsia="Ubuntu" w:hAnsiTheme="majorHAnsi" w:cs="Ubuntu"/>
                <w:sz w:val="20"/>
                <w:szCs w:val="20"/>
              </w:rPr>
              <w:t xml:space="preserve"> and practices with the learning and teaching of financial capability.</w:t>
            </w:r>
          </w:p>
        </w:tc>
        <w:tc>
          <w:tcPr>
            <w:tcW w:w="3094" w:type="dxa"/>
          </w:tcPr>
          <w:p w:rsidR="001A445E" w:rsidRDefault="001A445E" w:rsidP="00402F97">
            <w:pPr>
              <w:rPr>
                <w:rFonts w:eastAsia="Ubuntu" w:cs="Ubuntu"/>
                <w:b/>
                <w:sz w:val="24"/>
                <w:szCs w:val="24"/>
              </w:rPr>
            </w:pPr>
            <w:r>
              <w:rPr>
                <w:rFonts w:eastAsia="Ubuntu" w:cs="Ubuntu"/>
                <w:b/>
                <w:sz w:val="24"/>
                <w:szCs w:val="24"/>
              </w:rPr>
              <w:t>Empowering</w:t>
            </w:r>
          </w:p>
          <w:p w:rsidR="003E6897" w:rsidRPr="00C5721C" w:rsidRDefault="003E6897" w:rsidP="00402F97">
            <w:pPr>
              <w:rPr>
                <w:rFonts w:asciiTheme="majorHAnsi" w:eastAsia="Ubuntu" w:hAnsiTheme="majorHAnsi" w:cs="Ubuntu"/>
                <w:sz w:val="20"/>
                <w:szCs w:val="20"/>
              </w:rPr>
            </w:pPr>
            <w:r w:rsidRPr="00C5721C">
              <w:rPr>
                <w:rFonts w:asciiTheme="majorHAnsi" w:eastAsia="Ubuntu" w:hAnsiTheme="majorHAnsi" w:cs="Ubuntu"/>
                <w:sz w:val="20"/>
                <w:szCs w:val="20"/>
              </w:rPr>
              <w:t>Innovate, inquire</w:t>
            </w:r>
            <w:r w:rsidR="00C5721C" w:rsidRPr="00C5721C">
              <w:rPr>
                <w:rFonts w:asciiTheme="majorHAnsi" w:eastAsia="Ubuntu" w:hAnsiTheme="majorHAnsi" w:cs="Ubuntu"/>
                <w:sz w:val="20"/>
                <w:szCs w:val="20"/>
              </w:rPr>
              <w:t>,</w:t>
            </w:r>
            <w:r w:rsidRPr="00C5721C">
              <w:rPr>
                <w:rFonts w:asciiTheme="majorHAnsi" w:eastAsia="Ubuntu" w:hAnsiTheme="majorHAnsi" w:cs="Ubuntu"/>
                <w:sz w:val="20"/>
                <w:szCs w:val="20"/>
              </w:rPr>
              <w:t xml:space="preserve"> and reflect on the learning and teaching of financial capability as a school community.</w:t>
            </w:r>
          </w:p>
        </w:tc>
      </w:tr>
    </w:tbl>
    <w:p w:rsidR="0076031D" w:rsidRPr="0076031D" w:rsidRDefault="0076031D" w:rsidP="00402F97">
      <w:pPr>
        <w:rPr>
          <w:rFonts w:eastAsia="Ubuntu" w:cs="Ubuntu"/>
          <w:b/>
          <w:color w:val="5B9BD5" w:themeColor="accent1"/>
          <w:sz w:val="24"/>
          <w:szCs w:val="24"/>
        </w:rPr>
      </w:pPr>
      <w:r w:rsidRPr="0076031D">
        <w:rPr>
          <w:rFonts w:eastAsia="Ubuntu" w:cs="Ubuntu"/>
          <w:b/>
          <w:color w:val="5B9BD5" w:themeColor="accent1"/>
          <w:sz w:val="24"/>
          <w:szCs w:val="24"/>
        </w:rPr>
        <w:t>[Below is how it could look example only]</w:t>
      </w:r>
    </w:p>
    <w:tbl>
      <w:tblPr>
        <w:tblW w:w="15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88"/>
        <w:gridCol w:w="3088"/>
        <w:gridCol w:w="3088"/>
        <w:gridCol w:w="3088"/>
        <w:gridCol w:w="3089"/>
      </w:tblGrid>
      <w:tr w:rsidR="00402F97" w:rsidRPr="00E4666E" w:rsidTr="009D04DF">
        <w:tc>
          <w:tcPr>
            <w:tcW w:w="3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F97" w:rsidRPr="00E4666E" w:rsidRDefault="00402F97" w:rsidP="00352A8D">
            <w:pPr>
              <w:rPr>
                <w:rFonts w:asciiTheme="majorHAnsi" w:hAnsiTheme="majorHAnsi"/>
                <w:sz w:val="24"/>
                <w:szCs w:val="24"/>
              </w:rPr>
            </w:pPr>
            <w:r w:rsidRPr="00E4666E">
              <w:rPr>
                <w:rFonts w:asciiTheme="majorHAnsi" w:eastAsia="Calibri" w:hAnsiTheme="majorHAnsi" w:cs="Calibri"/>
                <w:b/>
                <w:sz w:val="24"/>
                <w:szCs w:val="24"/>
              </w:rPr>
              <w:t>Pre-emerging</w:t>
            </w:r>
          </w:p>
          <w:p w:rsidR="00402F97" w:rsidRPr="00C5721C" w:rsidRDefault="00402F97" w:rsidP="00352A8D">
            <w:pPr>
              <w:rPr>
                <w:rFonts w:asciiTheme="majorHAnsi" w:hAnsiTheme="majorHAnsi"/>
                <w:sz w:val="20"/>
              </w:rPr>
            </w:pPr>
            <w:r w:rsidRPr="00C5721C">
              <w:rPr>
                <w:rFonts w:asciiTheme="majorHAnsi" w:eastAsia="Calibri" w:hAnsiTheme="majorHAnsi" w:cs="Calibri"/>
                <w:sz w:val="20"/>
              </w:rPr>
              <w:t>WHOLE SCHOOL: You need to put in place deliberate action</w:t>
            </w:r>
            <w:r w:rsidR="00466065" w:rsidRPr="00C5721C">
              <w:rPr>
                <w:rFonts w:asciiTheme="majorHAnsi" w:eastAsia="Calibri" w:hAnsiTheme="majorHAnsi" w:cs="Calibri"/>
                <w:sz w:val="20"/>
              </w:rPr>
              <w:t>s to plan for financial c</w:t>
            </w:r>
            <w:r w:rsidR="00C5721C">
              <w:rPr>
                <w:rFonts w:asciiTheme="majorHAnsi" w:eastAsia="Calibri" w:hAnsiTheme="majorHAnsi" w:cs="Calibri"/>
                <w:sz w:val="20"/>
              </w:rPr>
              <w:t>apability</w:t>
            </w:r>
            <w:r w:rsidRPr="00C5721C">
              <w:rPr>
                <w:rFonts w:asciiTheme="majorHAnsi" w:eastAsia="Calibri" w:hAnsiTheme="majorHAnsi" w:cs="Calibri"/>
                <w:sz w:val="20"/>
              </w:rPr>
              <w:t xml:space="preserve"> and integrate into the curriculum school wide and across learning areas.</w:t>
            </w:r>
          </w:p>
          <w:p w:rsidR="00402F97" w:rsidRPr="00C5721C" w:rsidRDefault="00402F97" w:rsidP="00C5721C">
            <w:pPr>
              <w:rPr>
                <w:rFonts w:asciiTheme="majorHAnsi" w:eastAsia="Calibri" w:hAnsiTheme="majorHAnsi" w:cs="Calibri"/>
                <w:sz w:val="20"/>
              </w:rPr>
            </w:pPr>
            <w:r w:rsidRPr="00C5721C">
              <w:rPr>
                <w:rFonts w:asciiTheme="majorHAnsi" w:eastAsia="Calibri" w:hAnsiTheme="majorHAnsi" w:cs="Calibri"/>
                <w:sz w:val="20"/>
              </w:rPr>
              <w:t xml:space="preserve">TEACHER: You need to build awareness of how </w:t>
            </w:r>
            <w:r w:rsidR="00466065" w:rsidRPr="00C5721C">
              <w:rPr>
                <w:rFonts w:asciiTheme="majorHAnsi" w:eastAsia="Calibri" w:hAnsiTheme="majorHAnsi" w:cs="Calibri"/>
                <w:sz w:val="20"/>
              </w:rPr>
              <w:t>financial c</w:t>
            </w:r>
            <w:r w:rsidR="00C5721C" w:rsidRPr="00C5721C">
              <w:rPr>
                <w:rFonts w:asciiTheme="majorHAnsi" w:eastAsia="Calibri" w:hAnsiTheme="majorHAnsi" w:cs="Calibri"/>
                <w:sz w:val="20"/>
              </w:rPr>
              <w:t>apability</w:t>
            </w:r>
            <w:r w:rsidRPr="00C5721C">
              <w:rPr>
                <w:rFonts w:asciiTheme="majorHAnsi" w:eastAsia="Calibri" w:hAnsiTheme="majorHAnsi" w:cs="Calibri"/>
                <w:sz w:val="20"/>
              </w:rPr>
              <w:t xml:space="preserve"> can enable effective learning or what might be possible.</w:t>
            </w:r>
          </w:p>
        </w:tc>
        <w:tc>
          <w:tcPr>
            <w:tcW w:w="3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F97" w:rsidRPr="00E4666E" w:rsidRDefault="00402F97" w:rsidP="00352A8D">
            <w:pPr>
              <w:rPr>
                <w:rFonts w:asciiTheme="majorHAnsi" w:hAnsiTheme="majorHAnsi"/>
                <w:sz w:val="24"/>
                <w:szCs w:val="24"/>
              </w:rPr>
            </w:pPr>
            <w:r w:rsidRPr="00E4666E">
              <w:rPr>
                <w:rFonts w:asciiTheme="majorHAnsi" w:eastAsia="Calibri" w:hAnsiTheme="majorHAnsi" w:cs="Calibri"/>
                <w:b/>
                <w:sz w:val="24"/>
                <w:szCs w:val="24"/>
              </w:rPr>
              <w:t>Emerging</w:t>
            </w:r>
          </w:p>
          <w:p w:rsidR="00402F97" w:rsidRPr="00C5721C" w:rsidRDefault="00402F97" w:rsidP="00352A8D">
            <w:pPr>
              <w:rPr>
                <w:rFonts w:asciiTheme="majorHAnsi" w:hAnsiTheme="majorHAnsi"/>
                <w:sz w:val="20"/>
              </w:rPr>
            </w:pPr>
            <w:r w:rsidRPr="00C5721C">
              <w:rPr>
                <w:rFonts w:asciiTheme="majorHAnsi" w:eastAsia="Calibri" w:hAnsiTheme="majorHAnsi" w:cs="Calibri"/>
                <w:sz w:val="20"/>
              </w:rPr>
              <w:t xml:space="preserve">WHOLE SCHOOL: You investigate, raise awareness and plan for growing school wide </w:t>
            </w:r>
            <w:r w:rsidR="009D04DF">
              <w:rPr>
                <w:rFonts w:asciiTheme="majorHAnsi" w:eastAsia="Calibri" w:hAnsiTheme="majorHAnsi" w:cs="Calibri"/>
                <w:sz w:val="20"/>
              </w:rPr>
              <w:t>financial capability.</w:t>
            </w:r>
          </w:p>
          <w:p w:rsidR="00402F97" w:rsidRPr="00C5721C" w:rsidRDefault="00402F97" w:rsidP="009D04DF">
            <w:pPr>
              <w:rPr>
                <w:rFonts w:asciiTheme="majorHAnsi" w:hAnsiTheme="majorHAnsi"/>
                <w:sz w:val="20"/>
              </w:rPr>
            </w:pPr>
            <w:r w:rsidRPr="00C5721C">
              <w:rPr>
                <w:rFonts w:asciiTheme="majorHAnsi" w:eastAsia="Calibri" w:hAnsiTheme="majorHAnsi" w:cs="Calibri"/>
                <w:sz w:val="20"/>
              </w:rPr>
              <w:t>TEACHER: You f</w:t>
            </w:r>
            <w:r w:rsidR="00466065" w:rsidRPr="00C5721C">
              <w:rPr>
                <w:rFonts w:asciiTheme="majorHAnsi" w:eastAsia="Calibri" w:hAnsiTheme="majorHAnsi" w:cs="Calibri"/>
                <w:sz w:val="20"/>
              </w:rPr>
              <w:t>ind out about financial c</w:t>
            </w:r>
            <w:r w:rsidR="009D04DF">
              <w:rPr>
                <w:rFonts w:asciiTheme="majorHAnsi" w:eastAsia="Calibri" w:hAnsiTheme="majorHAnsi" w:cs="Calibri"/>
                <w:sz w:val="20"/>
              </w:rPr>
              <w:t>apability</w:t>
            </w:r>
            <w:r w:rsidRPr="00C5721C">
              <w:rPr>
                <w:rFonts w:asciiTheme="majorHAnsi" w:eastAsia="Calibri" w:hAnsiTheme="majorHAnsi" w:cs="Calibri"/>
                <w:sz w:val="20"/>
              </w:rPr>
              <w:t>, and supplement teacher-directed, lower-order (surface) approaches of teaching.</w:t>
            </w:r>
          </w:p>
        </w:tc>
        <w:tc>
          <w:tcPr>
            <w:tcW w:w="3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F97" w:rsidRPr="00E4666E" w:rsidRDefault="00402F97" w:rsidP="00352A8D">
            <w:pPr>
              <w:rPr>
                <w:rFonts w:asciiTheme="majorHAnsi" w:hAnsiTheme="majorHAnsi"/>
                <w:sz w:val="24"/>
                <w:szCs w:val="24"/>
              </w:rPr>
            </w:pPr>
            <w:r w:rsidRPr="00E4666E">
              <w:rPr>
                <w:rFonts w:asciiTheme="majorHAnsi" w:eastAsia="Calibri" w:hAnsiTheme="majorHAnsi" w:cs="Calibri"/>
                <w:b/>
                <w:sz w:val="24"/>
                <w:szCs w:val="24"/>
              </w:rPr>
              <w:t>Engaging</w:t>
            </w:r>
          </w:p>
          <w:p w:rsidR="00402F97" w:rsidRPr="00C5721C" w:rsidRDefault="00402F97" w:rsidP="00352A8D">
            <w:pPr>
              <w:rPr>
                <w:rFonts w:asciiTheme="majorHAnsi" w:hAnsiTheme="majorHAnsi"/>
                <w:sz w:val="20"/>
              </w:rPr>
            </w:pPr>
            <w:r w:rsidRPr="00C5721C">
              <w:rPr>
                <w:rFonts w:asciiTheme="majorHAnsi" w:eastAsia="Calibri" w:hAnsiTheme="majorHAnsi" w:cs="Calibri"/>
                <w:sz w:val="20"/>
              </w:rPr>
              <w:t>WHOLE SCHOOL: You establish and connect</w:t>
            </w:r>
            <w:r w:rsidR="00466065" w:rsidRPr="00C5721C">
              <w:rPr>
                <w:rFonts w:asciiTheme="majorHAnsi" w:eastAsia="Calibri" w:hAnsiTheme="majorHAnsi" w:cs="Calibri"/>
                <w:sz w:val="20"/>
              </w:rPr>
              <w:t xml:space="preserve"> planning for financial c</w:t>
            </w:r>
            <w:r w:rsidR="009D04DF">
              <w:rPr>
                <w:rFonts w:asciiTheme="majorHAnsi" w:eastAsia="Calibri" w:hAnsiTheme="majorHAnsi" w:cs="Calibri"/>
                <w:sz w:val="20"/>
              </w:rPr>
              <w:t xml:space="preserve">apability </w:t>
            </w:r>
            <w:r w:rsidRPr="00C5721C">
              <w:rPr>
                <w:rFonts w:asciiTheme="majorHAnsi" w:eastAsia="Calibri" w:hAnsiTheme="majorHAnsi" w:cs="Calibri"/>
                <w:sz w:val="20"/>
              </w:rPr>
              <w:t>school wide; you trial initiatives and evaluate the effectiveness of outcomes.</w:t>
            </w:r>
          </w:p>
          <w:p w:rsidR="00402F97" w:rsidRPr="00C5721C" w:rsidRDefault="00402F97" w:rsidP="009D04DF">
            <w:pPr>
              <w:rPr>
                <w:rFonts w:asciiTheme="majorHAnsi" w:eastAsia="Calibri" w:hAnsiTheme="majorHAnsi" w:cs="Calibri"/>
                <w:sz w:val="20"/>
              </w:rPr>
            </w:pPr>
            <w:r w:rsidRPr="00C5721C">
              <w:rPr>
                <w:rFonts w:asciiTheme="majorHAnsi" w:eastAsia="Calibri" w:hAnsiTheme="majorHAnsi" w:cs="Calibri"/>
                <w:sz w:val="20"/>
              </w:rPr>
              <w:t>TEACHER: You trial and</w:t>
            </w:r>
            <w:r w:rsidR="00466065" w:rsidRPr="00C5721C">
              <w:rPr>
                <w:rFonts w:asciiTheme="majorHAnsi" w:eastAsia="Calibri" w:hAnsiTheme="majorHAnsi" w:cs="Calibri"/>
                <w:sz w:val="20"/>
              </w:rPr>
              <w:t xml:space="preserve"> begin to use financial </w:t>
            </w:r>
            <w:r w:rsidR="009D04DF">
              <w:rPr>
                <w:rFonts w:asciiTheme="majorHAnsi" w:eastAsia="Calibri" w:hAnsiTheme="majorHAnsi" w:cs="Calibri"/>
                <w:sz w:val="20"/>
              </w:rPr>
              <w:t>capability</w:t>
            </w:r>
            <w:r w:rsidRPr="00C5721C">
              <w:rPr>
                <w:rFonts w:asciiTheme="majorHAnsi" w:eastAsia="Calibri" w:hAnsiTheme="majorHAnsi" w:cs="Calibri"/>
                <w:sz w:val="20"/>
              </w:rPr>
              <w:t xml:space="preserve"> in a range of learning areas to support higher-order (deep), collaborative teaching and learning.</w:t>
            </w:r>
          </w:p>
        </w:tc>
        <w:tc>
          <w:tcPr>
            <w:tcW w:w="3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F97" w:rsidRPr="00E4666E" w:rsidRDefault="00402F97" w:rsidP="00352A8D">
            <w:pPr>
              <w:rPr>
                <w:rFonts w:asciiTheme="majorHAnsi" w:hAnsiTheme="majorHAnsi"/>
                <w:sz w:val="24"/>
                <w:szCs w:val="24"/>
              </w:rPr>
            </w:pPr>
            <w:r w:rsidRPr="00E4666E">
              <w:rPr>
                <w:rFonts w:asciiTheme="majorHAnsi" w:eastAsia="Calibri" w:hAnsiTheme="majorHAnsi" w:cs="Calibri"/>
                <w:b/>
                <w:sz w:val="24"/>
                <w:szCs w:val="24"/>
              </w:rPr>
              <w:t>Extending</w:t>
            </w:r>
          </w:p>
          <w:p w:rsidR="00402F97" w:rsidRPr="00C5721C" w:rsidRDefault="00402F97" w:rsidP="00352A8D">
            <w:pPr>
              <w:rPr>
                <w:rFonts w:asciiTheme="majorHAnsi" w:hAnsiTheme="majorHAnsi"/>
                <w:sz w:val="20"/>
              </w:rPr>
            </w:pPr>
            <w:r w:rsidRPr="00C5721C">
              <w:rPr>
                <w:rFonts w:asciiTheme="majorHAnsi" w:eastAsia="Calibri" w:hAnsiTheme="majorHAnsi" w:cs="Calibri"/>
                <w:sz w:val="20"/>
              </w:rPr>
              <w:t>WHOLE SCHOOL: You effectively align across school, community</w:t>
            </w:r>
            <w:r w:rsidR="009D04DF">
              <w:rPr>
                <w:rFonts w:asciiTheme="majorHAnsi" w:eastAsia="Calibri" w:hAnsiTheme="majorHAnsi" w:cs="Calibri"/>
                <w:sz w:val="20"/>
              </w:rPr>
              <w:t>,</w:t>
            </w:r>
            <w:r w:rsidRPr="00C5721C">
              <w:rPr>
                <w:rFonts w:asciiTheme="majorHAnsi" w:eastAsia="Calibri" w:hAnsiTheme="majorHAnsi" w:cs="Calibri"/>
                <w:sz w:val="20"/>
              </w:rPr>
              <w:t xml:space="preserve"> and wider network</w:t>
            </w:r>
            <w:r w:rsidR="00466065" w:rsidRPr="00C5721C">
              <w:rPr>
                <w:rFonts w:asciiTheme="majorHAnsi" w:eastAsia="Calibri" w:hAnsiTheme="majorHAnsi" w:cs="Calibri"/>
                <w:sz w:val="20"/>
              </w:rPr>
              <w:t>s. The use of financial c</w:t>
            </w:r>
            <w:r w:rsidR="009D04DF">
              <w:rPr>
                <w:rFonts w:asciiTheme="majorHAnsi" w:eastAsia="Calibri" w:hAnsiTheme="majorHAnsi" w:cs="Calibri"/>
                <w:sz w:val="20"/>
              </w:rPr>
              <w:t>apability</w:t>
            </w:r>
            <w:r w:rsidRPr="00C5721C">
              <w:rPr>
                <w:rFonts w:asciiTheme="majorHAnsi" w:eastAsia="Calibri" w:hAnsiTheme="majorHAnsi" w:cs="Calibri"/>
                <w:sz w:val="20"/>
              </w:rPr>
              <w:t xml:space="preserve"> is refined and appropriate to meet the diverse needs of all learners.</w:t>
            </w:r>
          </w:p>
          <w:p w:rsidR="00402F97" w:rsidRPr="00C5721C" w:rsidRDefault="00402F97" w:rsidP="009D04DF">
            <w:pPr>
              <w:rPr>
                <w:rFonts w:asciiTheme="majorHAnsi" w:hAnsiTheme="majorHAnsi"/>
                <w:sz w:val="20"/>
              </w:rPr>
            </w:pPr>
            <w:r w:rsidRPr="00C5721C">
              <w:rPr>
                <w:rFonts w:asciiTheme="majorHAnsi" w:eastAsia="Calibri" w:hAnsiTheme="majorHAnsi" w:cs="Calibri"/>
                <w:sz w:val="20"/>
              </w:rPr>
              <w:t>TEACHER: You begin to collaborate with st</w:t>
            </w:r>
            <w:r w:rsidR="00466065" w:rsidRPr="00C5721C">
              <w:rPr>
                <w:rFonts w:asciiTheme="majorHAnsi" w:eastAsia="Calibri" w:hAnsiTheme="majorHAnsi" w:cs="Calibri"/>
                <w:sz w:val="20"/>
              </w:rPr>
              <w:t>udents to use financial c</w:t>
            </w:r>
            <w:r w:rsidR="009D04DF">
              <w:rPr>
                <w:rFonts w:asciiTheme="majorHAnsi" w:eastAsia="Calibri" w:hAnsiTheme="majorHAnsi" w:cs="Calibri"/>
                <w:sz w:val="20"/>
              </w:rPr>
              <w:t>apability</w:t>
            </w:r>
            <w:r w:rsidRPr="00C5721C">
              <w:rPr>
                <w:rFonts w:asciiTheme="majorHAnsi" w:eastAsia="Calibri" w:hAnsiTheme="majorHAnsi" w:cs="Calibri"/>
                <w:sz w:val="20"/>
              </w:rPr>
              <w:t xml:space="preserve"> appropriately to support authentic, higher order, co-constructed learning.</w:t>
            </w:r>
          </w:p>
        </w:tc>
        <w:tc>
          <w:tcPr>
            <w:tcW w:w="30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F97" w:rsidRPr="00E4666E" w:rsidRDefault="00402F97" w:rsidP="00352A8D">
            <w:pPr>
              <w:rPr>
                <w:rFonts w:asciiTheme="majorHAnsi" w:hAnsiTheme="majorHAnsi"/>
                <w:sz w:val="24"/>
                <w:szCs w:val="24"/>
              </w:rPr>
            </w:pPr>
            <w:r w:rsidRPr="00E4666E">
              <w:rPr>
                <w:rFonts w:asciiTheme="majorHAnsi" w:eastAsia="Calibri" w:hAnsiTheme="majorHAnsi" w:cs="Calibri"/>
                <w:b/>
                <w:sz w:val="24"/>
                <w:szCs w:val="24"/>
              </w:rPr>
              <w:t>Empowering</w:t>
            </w:r>
          </w:p>
          <w:p w:rsidR="00402F97" w:rsidRPr="00C5721C" w:rsidRDefault="00402F97" w:rsidP="00352A8D">
            <w:pPr>
              <w:rPr>
                <w:rFonts w:asciiTheme="majorHAnsi" w:hAnsiTheme="majorHAnsi"/>
                <w:sz w:val="20"/>
              </w:rPr>
            </w:pPr>
            <w:r w:rsidRPr="00C5721C">
              <w:rPr>
                <w:rFonts w:asciiTheme="majorHAnsi" w:eastAsia="Calibri" w:hAnsiTheme="majorHAnsi" w:cs="Calibri"/>
                <w:sz w:val="20"/>
              </w:rPr>
              <w:t>WHOLE SCHOOL: Your school, community</w:t>
            </w:r>
            <w:r w:rsidR="009D04DF">
              <w:rPr>
                <w:rFonts w:asciiTheme="majorHAnsi" w:eastAsia="Calibri" w:hAnsiTheme="majorHAnsi" w:cs="Calibri"/>
                <w:sz w:val="20"/>
              </w:rPr>
              <w:t>,</w:t>
            </w:r>
            <w:r w:rsidRPr="00C5721C">
              <w:rPr>
                <w:rFonts w:asciiTheme="majorHAnsi" w:eastAsia="Calibri" w:hAnsiTheme="majorHAnsi" w:cs="Calibri"/>
                <w:sz w:val="20"/>
              </w:rPr>
              <w:t xml:space="preserve"> and networks work in partnerships to refl</w:t>
            </w:r>
            <w:r w:rsidR="00E4666E" w:rsidRPr="00C5721C">
              <w:rPr>
                <w:rFonts w:asciiTheme="majorHAnsi" w:eastAsia="Calibri" w:hAnsiTheme="majorHAnsi" w:cs="Calibri"/>
                <w:sz w:val="20"/>
              </w:rPr>
              <w:t xml:space="preserve">ect and plan. </w:t>
            </w:r>
            <w:r w:rsidR="009D04DF">
              <w:rPr>
                <w:rFonts w:asciiTheme="majorHAnsi" w:eastAsia="Calibri" w:hAnsiTheme="majorHAnsi" w:cs="Calibri"/>
                <w:sz w:val="20"/>
              </w:rPr>
              <w:t>Financial capability</w:t>
            </w:r>
            <w:r w:rsidRPr="00C5721C">
              <w:rPr>
                <w:rFonts w:asciiTheme="majorHAnsi" w:eastAsia="Calibri" w:hAnsiTheme="majorHAnsi" w:cs="Calibri"/>
                <w:sz w:val="20"/>
              </w:rPr>
              <w:t xml:space="preserve"> is integrated into relevant learning areas, is accessible and equitable, enhancing authentic, co-constructed learning within and beyond the school community.</w:t>
            </w:r>
          </w:p>
          <w:p w:rsidR="00402F97" w:rsidRPr="00C5721C" w:rsidRDefault="00402F97" w:rsidP="00352A8D">
            <w:pPr>
              <w:rPr>
                <w:rFonts w:asciiTheme="majorHAnsi" w:hAnsiTheme="majorHAnsi"/>
                <w:sz w:val="20"/>
              </w:rPr>
            </w:pPr>
            <w:r w:rsidRPr="00C5721C">
              <w:rPr>
                <w:rFonts w:asciiTheme="majorHAnsi" w:eastAsia="Calibri" w:hAnsiTheme="majorHAnsi" w:cs="Calibri"/>
                <w:sz w:val="20"/>
              </w:rPr>
              <w:t>TEACHER: You work collaboratively alongside students to create personalised, higher-order, relevant and authentic learning. Students initiate own learning experiences.</w:t>
            </w:r>
          </w:p>
        </w:tc>
      </w:tr>
    </w:tbl>
    <w:p w:rsidR="0076031D" w:rsidRDefault="00402F97" w:rsidP="0076031D">
      <w:pPr>
        <w:rPr>
          <w:b/>
          <w:sz w:val="18"/>
        </w:rPr>
      </w:pPr>
      <w:r w:rsidRPr="008B6D64">
        <w:rPr>
          <w:b/>
          <w:sz w:val="18"/>
        </w:rPr>
        <w:t>(Adapted from</w:t>
      </w:r>
      <w:hyperlink r:id="rId7">
        <w:r w:rsidRPr="008B6D64">
          <w:rPr>
            <w:b/>
            <w:sz w:val="18"/>
          </w:rPr>
          <w:t xml:space="preserve"> </w:t>
        </w:r>
      </w:hyperlink>
      <w:hyperlink r:id="rId8">
        <w:r w:rsidRPr="008B6D64">
          <w:rPr>
            <w:b/>
            <w:color w:val="0000FF"/>
            <w:sz w:val="18"/>
          </w:rPr>
          <w:t xml:space="preserve">Hall &amp; </w:t>
        </w:r>
        <w:proofErr w:type="spellStart"/>
        <w:r w:rsidRPr="008B6D64">
          <w:rPr>
            <w:b/>
            <w:color w:val="0000FF"/>
            <w:sz w:val="18"/>
          </w:rPr>
          <w:t>Hord</w:t>
        </w:r>
        <w:proofErr w:type="spellEnd"/>
        <w:r w:rsidRPr="008B6D64">
          <w:rPr>
            <w:b/>
            <w:color w:val="0000FF"/>
            <w:sz w:val="18"/>
          </w:rPr>
          <w:t>, 1987</w:t>
        </w:r>
      </w:hyperlink>
      <w:r w:rsidRPr="008B6D64">
        <w:rPr>
          <w:b/>
          <w:sz w:val="18"/>
        </w:rPr>
        <w:t>; Mishra &amp; Koehler, 2006;</w:t>
      </w:r>
      <w:hyperlink r:id="rId9">
        <w:r w:rsidRPr="008B6D64">
          <w:rPr>
            <w:b/>
            <w:sz w:val="18"/>
          </w:rPr>
          <w:t xml:space="preserve"> </w:t>
        </w:r>
      </w:hyperlink>
      <w:hyperlink r:id="rId10">
        <w:proofErr w:type="spellStart"/>
        <w:r w:rsidRPr="008B6D64">
          <w:rPr>
            <w:b/>
            <w:color w:val="0000FF"/>
            <w:sz w:val="18"/>
          </w:rPr>
          <w:t>Moertsch</w:t>
        </w:r>
        <w:proofErr w:type="spellEnd"/>
        <w:r w:rsidRPr="008B6D64">
          <w:rPr>
            <w:b/>
            <w:color w:val="0000FF"/>
            <w:sz w:val="18"/>
          </w:rPr>
          <w:t xml:space="preserve"> (1998);</w:t>
        </w:r>
      </w:hyperlink>
      <w:r w:rsidRPr="008B6D64">
        <w:rPr>
          <w:b/>
          <w:sz w:val="18"/>
        </w:rPr>
        <w:t xml:space="preserve"> and Timperley, 2007)</w:t>
      </w:r>
      <w:bookmarkStart w:id="7" w:name="h.gkj8xwx6t9yw" w:colFirst="0" w:colLast="0"/>
      <w:bookmarkEnd w:id="7"/>
    </w:p>
    <w:p w:rsidR="009D04DF" w:rsidRDefault="009D04DF" w:rsidP="0076031D">
      <w:pPr>
        <w:pStyle w:val="Heading4"/>
        <w:spacing w:before="240"/>
        <w:contextualSpacing w:val="0"/>
        <w:rPr>
          <w:rFonts w:asciiTheme="majorHAnsi" w:eastAsia="Ubuntu" w:hAnsiTheme="majorHAnsi" w:cs="Ubuntu"/>
          <w:b/>
          <w:color w:val="000000"/>
          <w:sz w:val="24"/>
          <w:szCs w:val="24"/>
          <w:u w:val="none"/>
        </w:rPr>
      </w:pPr>
    </w:p>
    <w:p w:rsidR="00402F97" w:rsidRDefault="009D04DF" w:rsidP="0076031D">
      <w:pPr>
        <w:pStyle w:val="Heading4"/>
        <w:spacing w:before="240"/>
        <w:contextualSpacing w:val="0"/>
        <w:rPr>
          <w:rFonts w:asciiTheme="majorHAnsi" w:eastAsia="Ubuntu" w:hAnsiTheme="majorHAnsi" w:cs="Ubuntu"/>
          <w:b/>
          <w:color w:val="000000"/>
          <w:sz w:val="24"/>
          <w:szCs w:val="24"/>
          <w:u w:val="none"/>
        </w:rPr>
      </w:pPr>
      <w:r>
        <w:rPr>
          <w:rFonts w:asciiTheme="majorHAnsi" w:eastAsia="Ubuntu" w:hAnsiTheme="majorHAnsi" w:cs="Ubuntu"/>
          <w:b/>
          <w:color w:val="000000"/>
          <w:sz w:val="24"/>
          <w:szCs w:val="24"/>
          <w:u w:val="none"/>
        </w:rPr>
        <w:t>Suggested dimensions of f</w:t>
      </w:r>
      <w:r w:rsidR="00E802EF" w:rsidRPr="0020181A">
        <w:rPr>
          <w:rFonts w:asciiTheme="majorHAnsi" w:eastAsia="Ubuntu" w:hAnsiTheme="majorHAnsi" w:cs="Ubuntu"/>
          <w:b/>
          <w:color w:val="000000"/>
          <w:sz w:val="24"/>
          <w:szCs w:val="24"/>
          <w:u w:val="none"/>
        </w:rPr>
        <w:t xml:space="preserve">inancial </w:t>
      </w:r>
      <w:r>
        <w:rPr>
          <w:rFonts w:asciiTheme="majorHAnsi" w:eastAsia="Ubuntu" w:hAnsiTheme="majorHAnsi" w:cs="Ubuntu"/>
          <w:b/>
          <w:color w:val="000000"/>
          <w:sz w:val="24"/>
          <w:szCs w:val="24"/>
          <w:u w:val="none"/>
        </w:rPr>
        <w:t>c</w:t>
      </w:r>
      <w:r w:rsidR="00E802EF" w:rsidRPr="0020181A">
        <w:rPr>
          <w:rFonts w:asciiTheme="majorHAnsi" w:eastAsia="Ubuntu" w:hAnsiTheme="majorHAnsi" w:cs="Ubuntu"/>
          <w:b/>
          <w:color w:val="000000"/>
          <w:sz w:val="24"/>
          <w:szCs w:val="24"/>
          <w:u w:val="none"/>
        </w:rPr>
        <w:t>apability</w:t>
      </w:r>
      <w:r w:rsidR="0020181A">
        <w:rPr>
          <w:rFonts w:asciiTheme="majorHAnsi" w:eastAsia="Ubuntu" w:hAnsiTheme="majorHAnsi" w:cs="Ubuntu"/>
          <w:b/>
          <w:color w:val="000000"/>
          <w:sz w:val="24"/>
          <w:szCs w:val="24"/>
          <w:u w:val="none"/>
        </w:rPr>
        <w:t xml:space="preserve"> </w:t>
      </w:r>
    </w:p>
    <w:p w:rsidR="009D04DF" w:rsidRDefault="009D04DF" w:rsidP="009D04DF">
      <w:pPr>
        <w:pStyle w:val="ListParagraph"/>
        <w:numPr>
          <w:ilvl w:val="0"/>
          <w:numId w:val="1"/>
        </w:numPr>
        <w:rPr>
          <w:lang w:eastAsia="en-NZ"/>
        </w:rPr>
      </w:pPr>
      <w:r>
        <w:rPr>
          <w:lang w:eastAsia="en-NZ"/>
        </w:rPr>
        <w:t>Professional learning</w:t>
      </w:r>
    </w:p>
    <w:p w:rsidR="009D04DF" w:rsidRDefault="009D04DF" w:rsidP="009D04DF">
      <w:pPr>
        <w:pStyle w:val="ListParagraph"/>
        <w:numPr>
          <w:ilvl w:val="0"/>
          <w:numId w:val="1"/>
        </w:numPr>
        <w:rPr>
          <w:lang w:eastAsia="en-NZ"/>
        </w:rPr>
      </w:pPr>
      <w:r>
        <w:rPr>
          <w:lang w:eastAsia="en-NZ"/>
        </w:rPr>
        <w:t>Learning and teaching</w:t>
      </w:r>
    </w:p>
    <w:p w:rsidR="009D04DF" w:rsidRDefault="009D04DF" w:rsidP="009D04DF">
      <w:pPr>
        <w:pStyle w:val="ListParagraph"/>
        <w:numPr>
          <w:ilvl w:val="0"/>
          <w:numId w:val="1"/>
        </w:numPr>
        <w:rPr>
          <w:lang w:eastAsia="en-NZ"/>
        </w:rPr>
      </w:pPr>
      <w:r>
        <w:rPr>
          <w:lang w:eastAsia="en-NZ"/>
        </w:rPr>
        <w:t>Leadership and strategic direction</w:t>
      </w:r>
    </w:p>
    <w:p w:rsidR="009D04DF" w:rsidRPr="009D04DF" w:rsidRDefault="009D04DF" w:rsidP="009D04DF">
      <w:pPr>
        <w:pStyle w:val="ListParagraph"/>
        <w:numPr>
          <w:ilvl w:val="0"/>
          <w:numId w:val="1"/>
        </w:numPr>
        <w:rPr>
          <w:lang w:eastAsia="en-NZ"/>
        </w:rPr>
      </w:pPr>
      <w:r>
        <w:rPr>
          <w:lang w:eastAsia="en-NZ"/>
        </w:rPr>
        <w:t xml:space="preserve">Beyond the classroom </w:t>
      </w:r>
    </w:p>
    <w:p w:rsidR="009D04DF" w:rsidRDefault="00E802EF" w:rsidP="00E802EF">
      <w:pPr>
        <w:rPr>
          <w:color w:val="5B9BD5" w:themeColor="accent1"/>
          <w:lang w:eastAsia="en-NZ"/>
        </w:rPr>
      </w:pPr>
      <w:r w:rsidRPr="00E802EF">
        <w:rPr>
          <w:color w:val="5B9BD5" w:themeColor="accent1"/>
          <w:lang w:eastAsia="en-NZ"/>
        </w:rPr>
        <w:t>[</w:t>
      </w:r>
      <w:r w:rsidR="009D04DF">
        <w:rPr>
          <w:color w:val="5B9BD5" w:themeColor="accent1"/>
          <w:lang w:eastAsia="en-NZ"/>
        </w:rPr>
        <w:t xml:space="preserve">Please note that the dimensions are not limited to those listed above. Add extra dimensions to reflect the needs and aspirations of your school community] </w:t>
      </w:r>
    </w:p>
    <w:p w:rsidR="009D04DF" w:rsidRPr="009D04DF" w:rsidRDefault="009D04DF" w:rsidP="00C5721C">
      <w:pPr>
        <w:rPr>
          <w:rFonts w:ascii="Calibri" w:eastAsia="Calibri" w:hAnsi="Calibri" w:cs="Calibri"/>
          <w:b/>
          <w:color w:val="000000"/>
          <w:lang w:eastAsia="en-NZ"/>
        </w:rPr>
      </w:pPr>
      <w:r w:rsidRPr="009D04DF">
        <w:rPr>
          <w:rFonts w:ascii="Calibri" w:eastAsia="Calibri" w:hAnsi="Calibri" w:cs="Calibri"/>
          <w:b/>
          <w:color w:val="000000"/>
          <w:lang w:eastAsia="en-NZ"/>
        </w:rPr>
        <w:t xml:space="preserve">Professional learning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78"/>
        <w:gridCol w:w="2871"/>
        <w:gridCol w:w="2509"/>
        <w:gridCol w:w="2614"/>
        <w:gridCol w:w="2820"/>
        <w:gridCol w:w="3266"/>
      </w:tblGrid>
      <w:tr w:rsidR="009D04DF" w:rsidRPr="00407710" w:rsidTr="009D04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DF" w:rsidRPr="009D04DF" w:rsidRDefault="009D04DF" w:rsidP="009D04DF">
            <w:pPr>
              <w:spacing w:after="0"/>
              <w:jc w:val="center"/>
              <w:rPr>
                <w:sz w:val="20"/>
              </w:rPr>
            </w:pP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C64DFC" w:rsidRDefault="009D04DF" w:rsidP="009D04DF">
            <w:pPr>
              <w:spacing w:after="0"/>
              <w:jc w:val="center"/>
              <w:rPr>
                <w:b/>
                <w:sz w:val="20"/>
              </w:rPr>
            </w:pPr>
            <w:r w:rsidRPr="00C64DFC">
              <w:rPr>
                <w:b/>
                <w:sz w:val="20"/>
              </w:rPr>
              <w:t>Pre-emerging</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C64DFC" w:rsidRDefault="009D04DF" w:rsidP="009D04DF">
            <w:pPr>
              <w:spacing w:after="0"/>
              <w:jc w:val="center"/>
              <w:rPr>
                <w:b/>
                <w:sz w:val="20"/>
              </w:rPr>
            </w:pPr>
            <w:r w:rsidRPr="00C64DFC">
              <w:rPr>
                <w:b/>
                <w:sz w:val="20"/>
              </w:rPr>
              <w:t>Emerging</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C64DFC" w:rsidRDefault="009D04DF" w:rsidP="009D04DF">
            <w:pPr>
              <w:spacing w:after="0"/>
              <w:jc w:val="center"/>
              <w:rPr>
                <w:b/>
                <w:sz w:val="20"/>
              </w:rPr>
            </w:pPr>
            <w:r w:rsidRPr="00C64DFC">
              <w:rPr>
                <w:b/>
                <w:sz w:val="20"/>
              </w:rPr>
              <w:t>Engaging</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C64DFC" w:rsidRDefault="009D04DF" w:rsidP="009D04DF">
            <w:pPr>
              <w:spacing w:after="0"/>
              <w:jc w:val="center"/>
              <w:rPr>
                <w:b/>
                <w:sz w:val="20"/>
              </w:rPr>
            </w:pPr>
            <w:r w:rsidRPr="00C64DFC">
              <w:rPr>
                <w:b/>
                <w:sz w:val="20"/>
              </w:rPr>
              <w:t>Extending</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C64DFC" w:rsidRDefault="009D04DF" w:rsidP="009D04DF">
            <w:pPr>
              <w:spacing w:after="0"/>
              <w:jc w:val="center"/>
              <w:rPr>
                <w:b/>
                <w:sz w:val="20"/>
              </w:rPr>
            </w:pPr>
            <w:r w:rsidRPr="00C64DFC">
              <w:rPr>
                <w:b/>
                <w:sz w:val="20"/>
              </w:rPr>
              <w:t>Empowering</w:t>
            </w:r>
          </w:p>
        </w:tc>
      </w:tr>
      <w:tr w:rsidR="009D04DF" w:rsidRPr="00407710" w:rsidTr="009D04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4DF" w:rsidRPr="002C6BC5" w:rsidRDefault="009D04DF" w:rsidP="009D04DF">
            <w:pPr>
              <w:spacing w:after="0"/>
              <w:jc w:val="center"/>
              <w:rPr>
                <w:b/>
                <w:sz w:val="20"/>
              </w:rPr>
            </w:pPr>
            <w:r w:rsidRPr="002C6BC5">
              <w:rPr>
                <w:b/>
                <w:sz w:val="20"/>
              </w:rPr>
              <w:t>Professional learning</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9D04DF" w:rsidRDefault="009D04DF" w:rsidP="009D04DF">
            <w:pPr>
              <w:spacing w:after="0"/>
              <w:jc w:val="center"/>
              <w:rPr>
                <w:sz w:val="20"/>
              </w:rPr>
            </w:pPr>
            <w:r w:rsidRPr="009D04DF">
              <w:rPr>
                <w:sz w:val="20"/>
              </w:rPr>
              <w:t>Professional learning is not yet focused on raising financial capability.</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9D04DF" w:rsidRDefault="009D04DF" w:rsidP="009D04DF">
            <w:pPr>
              <w:spacing w:after="0"/>
              <w:jc w:val="center"/>
              <w:rPr>
                <w:sz w:val="20"/>
              </w:rPr>
            </w:pPr>
            <w:r w:rsidRPr="009D04DF">
              <w:rPr>
                <w:sz w:val="20"/>
              </w:rPr>
              <w:t>Professional learning raises awareness and grows knowledge of financial capability.</w:t>
            </w:r>
          </w:p>
          <w:p w:rsidR="009D04DF" w:rsidRPr="009D04DF" w:rsidRDefault="009D04DF" w:rsidP="002C6BC5">
            <w:pPr>
              <w:spacing w:after="0"/>
              <w:jc w:val="center"/>
              <w:rPr>
                <w:sz w:val="20"/>
              </w:rPr>
            </w:pPr>
            <w:r w:rsidRPr="009D04DF">
              <w:rPr>
                <w:sz w:val="20"/>
              </w:rPr>
              <w:t xml:space="preserve">Whole staff awareness of </w:t>
            </w:r>
            <w:r w:rsidR="002C6BC5">
              <w:rPr>
                <w:sz w:val="20"/>
              </w:rPr>
              <w:t>financial capability</w:t>
            </w:r>
            <w:r w:rsidRPr="009D04DF">
              <w:rPr>
                <w:sz w:val="20"/>
              </w:rPr>
              <w:t xml:space="preserve"> and scheduled time for PD components.</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9D04DF" w:rsidRDefault="009D04DF" w:rsidP="009D04DF">
            <w:pPr>
              <w:spacing w:after="0"/>
              <w:jc w:val="center"/>
              <w:rPr>
                <w:sz w:val="20"/>
              </w:rPr>
            </w:pPr>
            <w:r w:rsidRPr="009D04DF">
              <w:rPr>
                <w:sz w:val="20"/>
              </w:rPr>
              <w:t>Professional learning increasingly focuses on financial capability for learning.</w:t>
            </w:r>
          </w:p>
          <w:p w:rsidR="009D04DF" w:rsidRPr="009D04DF" w:rsidRDefault="009D04DF" w:rsidP="009D04DF">
            <w:pPr>
              <w:spacing w:after="0"/>
              <w:jc w:val="center"/>
              <w:rPr>
                <w:sz w:val="20"/>
              </w:rPr>
            </w:pPr>
            <w:r w:rsidRPr="009D04DF">
              <w:rPr>
                <w:sz w:val="20"/>
              </w:rPr>
              <w:t xml:space="preserve">Staff meetings reflect some professional learning </w:t>
            </w:r>
            <w:r w:rsidR="002C6BC5">
              <w:rPr>
                <w:sz w:val="20"/>
              </w:rPr>
              <w:t>around financial capability</w:t>
            </w:r>
            <w:r w:rsidRPr="009D04DF">
              <w:rPr>
                <w:sz w:val="20"/>
              </w:rPr>
              <w:t>.</w:t>
            </w:r>
          </w:p>
          <w:p w:rsidR="009D04DF" w:rsidRPr="009D04DF" w:rsidRDefault="009D04DF" w:rsidP="009D04DF">
            <w:pPr>
              <w:spacing w:after="0"/>
              <w:jc w:val="center"/>
              <w:rPr>
                <w:sz w:val="20"/>
              </w:rPr>
            </w:pPr>
            <w:r w:rsidRPr="009D04DF">
              <w:rPr>
                <w:sz w:val="20"/>
              </w:rPr>
              <w:t>Professional learning responds to reflect the needs of the teachers</w:t>
            </w:r>
            <w:r w:rsidR="002C6BC5">
              <w:rPr>
                <w:sz w:val="20"/>
              </w:rPr>
              <w:t>.</w:t>
            </w:r>
            <w:r w:rsidRPr="009D04DF">
              <w:rPr>
                <w:sz w:val="20"/>
              </w:rPr>
              <w:t xml:space="preserve"> </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9D04DF" w:rsidRDefault="009D04DF" w:rsidP="009D04DF">
            <w:pPr>
              <w:spacing w:after="0"/>
              <w:jc w:val="center"/>
              <w:rPr>
                <w:sz w:val="20"/>
              </w:rPr>
            </w:pPr>
            <w:r w:rsidRPr="009D04DF">
              <w:rPr>
                <w:sz w:val="20"/>
              </w:rPr>
              <w:t>Professional learning explores ways to enhance evidence-based learning, including financial capability by integrating real life experiences / scenarios. Local resources and experts provide support.</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D04DF" w:rsidRPr="009D04DF" w:rsidRDefault="009D04DF" w:rsidP="009D04DF">
            <w:pPr>
              <w:spacing w:after="0"/>
              <w:jc w:val="center"/>
              <w:rPr>
                <w:sz w:val="20"/>
              </w:rPr>
            </w:pPr>
            <w:r w:rsidRPr="009D04DF">
              <w:rPr>
                <w:sz w:val="20"/>
              </w:rPr>
              <w:t>Professional learning is blended, sustained</w:t>
            </w:r>
            <w:r w:rsidR="002C6BC5">
              <w:rPr>
                <w:sz w:val="20"/>
              </w:rPr>
              <w:t>,</w:t>
            </w:r>
            <w:r w:rsidRPr="009D04DF">
              <w:rPr>
                <w:sz w:val="20"/>
              </w:rPr>
              <w:t xml:space="preserve"> and extends student-centred learning through an integration of financial capability across a range of learning areas.</w:t>
            </w:r>
          </w:p>
        </w:tc>
      </w:tr>
      <w:tr w:rsidR="002C6BC5" w:rsidRPr="00407710" w:rsidTr="009D04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b/>
                <w:sz w:val="20"/>
              </w:rPr>
            </w:pPr>
            <w:r w:rsidRPr="00407710">
              <w:rPr>
                <w:rFonts w:asciiTheme="majorHAnsi" w:hAnsiTheme="majorHAnsi"/>
                <w:b/>
                <w:sz w:val="20"/>
              </w:rPr>
              <w:t>Learning and Teaching</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Pr>
                <w:rFonts w:asciiTheme="majorHAnsi" w:hAnsiTheme="majorHAnsi"/>
                <w:sz w:val="20"/>
              </w:rPr>
              <w:t xml:space="preserve">Financial capability </w:t>
            </w:r>
            <w:r w:rsidRPr="00407710">
              <w:rPr>
                <w:rFonts w:asciiTheme="majorHAnsi" w:hAnsiTheme="majorHAnsi"/>
                <w:sz w:val="20"/>
              </w:rPr>
              <w:t>is not incorporated into classroom learning.</w:t>
            </w:r>
          </w:p>
          <w:p w:rsidR="002C6BC5" w:rsidRPr="00407710" w:rsidRDefault="002C6BC5" w:rsidP="002C6BC5">
            <w:pPr>
              <w:rPr>
                <w:rFonts w:asciiTheme="majorHAnsi" w:hAnsiTheme="majorHAnsi"/>
                <w:sz w:val="20"/>
              </w:rPr>
            </w:pPr>
            <w:r>
              <w:rPr>
                <w:rFonts w:asciiTheme="majorHAnsi" w:hAnsiTheme="majorHAnsi"/>
                <w:sz w:val="20"/>
              </w:rPr>
              <w:lastRenderedPageBreak/>
              <w:t>Progressions are not referenced.</w:t>
            </w:r>
          </w:p>
          <w:p w:rsidR="002C6BC5" w:rsidRPr="00407710" w:rsidRDefault="002C6BC5" w:rsidP="002C6BC5">
            <w:pPr>
              <w:rPr>
                <w:rFonts w:asciiTheme="majorHAnsi" w:hAnsiTheme="majorHAnsi"/>
                <w:sz w:val="20"/>
              </w:rPr>
            </w:pPr>
          </w:p>
          <w:p w:rsidR="002C6BC5" w:rsidRPr="00407710" w:rsidRDefault="002C6BC5" w:rsidP="002C6BC5">
            <w:pPr>
              <w:rPr>
                <w:rFonts w:asciiTheme="majorHAnsi" w:hAnsiTheme="majorHAnsi"/>
                <w:sz w:val="20"/>
              </w:rPr>
            </w:pP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Default="002C6BC5" w:rsidP="002C6BC5">
            <w:pPr>
              <w:rPr>
                <w:rFonts w:asciiTheme="majorHAnsi" w:hAnsiTheme="majorHAnsi"/>
                <w:sz w:val="20"/>
              </w:rPr>
            </w:pPr>
            <w:r>
              <w:rPr>
                <w:rFonts w:asciiTheme="majorHAnsi" w:hAnsiTheme="majorHAnsi"/>
                <w:sz w:val="20"/>
              </w:rPr>
              <w:lastRenderedPageBreak/>
              <w:t>Financial capability</w:t>
            </w:r>
            <w:r w:rsidRPr="00407710">
              <w:rPr>
                <w:rFonts w:asciiTheme="majorHAnsi" w:hAnsiTheme="majorHAnsi"/>
                <w:sz w:val="20"/>
              </w:rPr>
              <w:t xml:space="preserve"> is introduced to the classroom through</w:t>
            </w:r>
            <w:r>
              <w:rPr>
                <w:rFonts w:asciiTheme="majorHAnsi" w:hAnsiTheme="majorHAnsi"/>
                <w:sz w:val="20"/>
              </w:rPr>
              <w:t xml:space="preserve"> </w:t>
            </w:r>
            <w:r w:rsidRPr="00407710">
              <w:rPr>
                <w:rFonts w:asciiTheme="majorHAnsi" w:hAnsiTheme="majorHAnsi"/>
                <w:sz w:val="20"/>
              </w:rPr>
              <w:t>teacher directed activities.</w:t>
            </w:r>
          </w:p>
          <w:p w:rsidR="002C6BC5" w:rsidRDefault="002C6BC5" w:rsidP="002C6BC5">
            <w:pPr>
              <w:spacing w:after="0"/>
              <w:rPr>
                <w:rFonts w:asciiTheme="majorHAnsi" w:hAnsiTheme="majorHAnsi"/>
                <w:sz w:val="20"/>
              </w:rPr>
            </w:pPr>
            <w:r>
              <w:rPr>
                <w:rFonts w:asciiTheme="majorHAnsi" w:hAnsiTheme="majorHAnsi"/>
                <w:sz w:val="20"/>
              </w:rPr>
              <w:lastRenderedPageBreak/>
              <w:t>Teaching teams</w:t>
            </w:r>
          </w:p>
          <w:p w:rsidR="002C6BC5" w:rsidRDefault="002C6BC5" w:rsidP="002C6BC5">
            <w:pPr>
              <w:spacing w:after="0"/>
              <w:rPr>
                <w:rFonts w:asciiTheme="majorHAnsi" w:hAnsiTheme="majorHAnsi"/>
                <w:sz w:val="20"/>
              </w:rPr>
            </w:pPr>
            <w:r>
              <w:rPr>
                <w:rFonts w:asciiTheme="majorHAnsi" w:hAnsiTheme="majorHAnsi"/>
                <w:sz w:val="20"/>
              </w:rPr>
              <w:t>/Learning areas/departments</w:t>
            </w:r>
          </w:p>
          <w:p w:rsidR="002C6BC5" w:rsidRPr="00407710" w:rsidRDefault="002C6BC5" w:rsidP="002C6BC5">
            <w:pPr>
              <w:spacing w:after="0"/>
              <w:rPr>
                <w:rFonts w:asciiTheme="majorHAnsi" w:hAnsiTheme="majorHAnsi"/>
                <w:sz w:val="20"/>
              </w:rPr>
            </w:pPr>
            <w:proofErr w:type="gramStart"/>
            <w:r>
              <w:rPr>
                <w:rFonts w:asciiTheme="majorHAnsi" w:hAnsiTheme="majorHAnsi"/>
                <w:sz w:val="20"/>
              </w:rPr>
              <w:t>are</w:t>
            </w:r>
            <w:proofErr w:type="gramEnd"/>
            <w:r>
              <w:rPr>
                <w:rFonts w:asciiTheme="majorHAnsi" w:hAnsiTheme="majorHAnsi"/>
                <w:sz w:val="20"/>
              </w:rPr>
              <w:t xml:space="preserve"> aware of financial progressions.</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Default="002C6BC5" w:rsidP="002C6BC5">
            <w:pPr>
              <w:rPr>
                <w:rFonts w:asciiTheme="majorHAnsi" w:hAnsiTheme="majorHAnsi"/>
                <w:sz w:val="20"/>
              </w:rPr>
            </w:pPr>
            <w:r>
              <w:rPr>
                <w:rFonts w:asciiTheme="majorHAnsi" w:hAnsiTheme="majorHAnsi"/>
                <w:sz w:val="20"/>
              </w:rPr>
              <w:lastRenderedPageBreak/>
              <w:t>Financial capability</w:t>
            </w:r>
            <w:r w:rsidRPr="00407710">
              <w:rPr>
                <w:rFonts w:asciiTheme="majorHAnsi" w:hAnsiTheme="majorHAnsi"/>
                <w:sz w:val="20"/>
              </w:rPr>
              <w:t xml:space="preserve"> becomes more </w:t>
            </w:r>
            <w:r>
              <w:rPr>
                <w:rFonts w:asciiTheme="majorHAnsi" w:hAnsiTheme="majorHAnsi"/>
                <w:sz w:val="20"/>
              </w:rPr>
              <w:t xml:space="preserve">student-focussed. </w:t>
            </w:r>
          </w:p>
          <w:p w:rsidR="002C6BC5" w:rsidRPr="00407710" w:rsidRDefault="002C6BC5" w:rsidP="002C6BC5">
            <w:pPr>
              <w:rPr>
                <w:rFonts w:asciiTheme="majorHAnsi" w:hAnsiTheme="majorHAnsi"/>
                <w:sz w:val="20"/>
              </w:rPr>
            </w:pPr>
            <w:r w:rsidRPr="00407710">
              <w:rPr>
                <w:rFonts w:asciiTheme="majorHAnsi" w:hAnsiTheme="majorHAnsi"/>
                <w:sz w:val="20"/>
              </w:rPr>
              <w:lastRenderedPageBreak/>
              <w:t>Student awareness is raised an</w:t>
            </w:r>
            <w:r>
              <w:rPr>
                <w:rFonts w:asciiTheme="majorHAnsi" w:hAnsiTheme="majorHAnsi"/>
                <w:sz w:val="20"/>
              </w:rPr>
              <w:t>d interest in financial capability</w:t>
            </w:r>
            <w:r w:rsidRPr="00407710">
              <w:rPr>
                <w:rFonts w:asciiTheme="majorHAnsi" w:hAnsiTheme="majorHAnsi"/>
                <w:sz w:val="20"/>
              </w:rPr>
              <w:t xml:space="preserve"> is explored.</w:t>
            </w:r>
          </w:p>
          <w:p w:rsidR="002C6BC5" w:rsidRDefault="002C6BC5" w:rsidP="002C6BC5">
            <w:pPr>
              <w:rPr>
                <w:rFonts w:asciiTheme="majorHAnsi" w:hAnsiTheme="majorHAnsi"/>
                <w:sz w:val="20"/>
              </w:rPr>
            </w:pPr>
            <w:r w:rsidRPr="00407710">
              <w:rPr>
                <w:rFonts w:asciiTheme="majorHAnsi" w:hAnsiTheme="majorHAnsi"/>
                <w:sz w:val="20"/>
              </w:rPr>
              <w:t>Practice is still in certain subject/curriculum areas.</w:t>
            </w:r>
          </w:p>
          <w:p w:rsidR="002C6BC5" w:rsidRPr="00407710" w:rsidRDefault="002C6BC5" w:rsidP="002C6BC5">
            <w:pPr>
              <w:rPr>
                <w:rFonts w:asciiTheme="majorHAnsi" w:hAnsiTheme="majorHAnsi"/>
                <w:sz w:val="20"/>
              </w:rPr>
            </w:pPr>
            <w:r>
              <w:rPr>
                <w:rFonts w:asciiTheme="majorHAnsi" w:hAnsiTheme="majorHAnsi"/>
                <w:sz w:val="20"/>
              </w:rPr>
              <w:t xml:space="preserve">Teaching teams learning areas/departments have used financial progressions to look at what they cover in teaching practice. </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lastRenderedPageBreak/>
              <w:t>Learning activities integrate</w:t>
            </w:r>
            <w:r>
              <w:rPr>
                <w:rFonts w:asciiTheme="majorHAnsi" w:hAnsiTheme="majorHAnsi"/>
                <w:sz w:val="20"/>
              </w:rPr>
              <w:t xml:space="preserve"> </w:t>
            </w:r>
            <w:r w:rsidRPr="00407710">
              <w:rPr>
                <w:rFonts w:asciiTheme="majorHAnsi" w:hAnsiTheme="majorHAnsi"/>
                <w:sz w:val="20"/>
              </w:rPr>
              <w:t xml:space="preserve">financial </w:t>
            </w:r>
            <w:r>
              <w:rPr>
                <w:rFonts w:asciiTheme="majorHAnsi" w:hAnsiTheme="majorHAnsi"/>
                <w:sz w:val="20"/>
              </w:rPr>
              <w:t>capability</w:t>
            </w:r>
          </w:p>
          <w:p w:rsidR="002C6BC5" w:rsidRPr="00407710" w:rsidRDefault="002C6BC5" w:rsidP="002C6BC5">
            <w:pPr>
              <w:rPr>
                <w:rFonts w:asciiTheme="majorHAnsi" w:hAnsiTheme="majorHAnsi"/>
                <w:sz w:val="20"/>
              </w:rPr>
            </w:pPr>
            <w:r w:rsidRPr="00407710">
              <w:rPr>
                <w:rFonts w:asciiTheme="majorHAnsi" w:hAnsiTheme="majorHAnsi"/>
                <w:sz w:val="20"/>
              </w:rPr>
              <w:t xml:space="preserve">e.g., money, spending, credit, tax, budgeting, saving, investing </w:t>
            </w:r>
            <w:r w:rsidRPr="00407710">
              <w:rPr>
                <w:rFonts w:asciiTheme="majorHAnsi" w:hAnsiTheme="majorHAnsi"/>
                <w:sz w:val="20"/>
              </w:rPr>
              <w:lastRenderedPageBreak/>
              <w:t>to develop and support authentic, higher-order, collaborative learning.</w:t>
            </w:r>
          </w:p>
          <w:p w:rsidR="002C6BC5" w:rsidRDefault="002C6BC5" w:rsidP="002C6BC5">
            <w:pPr>
              <w:rPr>
                <w:rFonts w:asciiTheme="majorHAnsi" w:hAnsiTheme="majorHAnsi"/>
                <w:sz w:val="20"/>
              </w:rPr>
            </w:pPr>
            <w:r w:rsidRPr="00407710">
              <w:rPr>
                <w:rFonts w:asciiTheme="majorHAnsi" w:hAnsiTheme="majorHAnsi"/>
                <w:sz w:val="20"/>
              </w:rPr>
              <w:t>School wide practice is becoming apparent and is across a range of learning areas.</w:t>
            </w:r>
          </w:p>
          <w:p w:rsidR="002C6BC5" w:rsidRPr="00407710" w:rsidRDefault="002C6BC5" w:rsidP="002C6BC5">
            <w:pPr>
              <w:rPr>
                <w:rFonts w:asciiTheme="majorHAnsi" w:hAnsiTheme="majorHAnsi"/>
                <w:sz w:val="20"/>
              </w:rPr>
            </w:pPr>
            <w:r>
              <w:rPr>
                <w:rFonts w:asciiTheme="majorHAnsi" w:hAnsiTheme="majorHAnsi"/>
                <w:sz w:val="20"/>
              </w:rPr>
              <w:t>Progressions are integrated into practice.</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lastRenderedPageBreak/>
              <w:t>Student-centred, authentic learning</w:t>
            </w:r>
            <w:r>
              <w:rPr>
                <w:rFonts w:asciiTheme="majorHAnsi" w:hAnsiTheme="majorHAnsi"/>
                <w:sz w:val="20"/>
              </w:rPr>
              <w:t xml:space="preserve"> i</w:t>
            </w:r>
            <w:r w:rsidRPr="00407710">
              <w:rPr>
                <w:rFonts w:asciiTheme="majorHAnsi" w:hAnsiTheme="majorHAnsi"/>
                <w:sz w:val="20"/>
              </w:rPr>
              <w:t>s evident.</w:t>
            </w:r>
          </w:p>
          <w:p w:rsidR="002C6BC5" w:rsidRPr="00407710" w:rsidRDefault="002C6BC5" w:rsidP="002C6BC5">
            <w:pPr>
              <w:rPr>
                <w:rFonts w:asciiTheme="majorHAnsi" w:hAnsiTheme="majorHAnsi"/>
                <w:sz w:val="20"/>
              </w:rPr>
            </w:pPr>
            <w:r w:rsidRPr="00407710">
              <w:rPr>
                <w:rFonts w:asciiTheme="majorHAnsi" w:hAnsiTheme="majorHAnsi"/>
                <w:sz w:val="20"/>
              </w:rPr>
              <w:t xml:space="preserve">Students apply financial understanding and knowledge in their </w:t>
            </w:r>
            <w:r w:rsidRPr="00407710">
              <w:rPr>
                <w:rFonts w:asciiTheme="majorHAnsi" w:hAnsiTheme="majorHAnsi"/>
                <w:sz w:val="20"/>
              </w:rPr>
              <w:lastRenderedPageBreak/>
              <w:t>everyday lives. Practice is school wide and across learning areas and is integrated at all opportunities</w:t>
            </w:r>
            <w:r>
              <w:rPr>
                <w:rFonts w:asciiTheme="majorHAnsi" w:hAnsiTheme="majorHAnsi"/>
                <w:sz w:val="20"/>
              </w:rPr>
              <w:t xml:space="preserve">. </w:t>
            </w:r>
          </w:p>
          <w:p w:rsidR="002C6BC5" w:rsidRPr="00407710" w:rsidRDefault="002C6BC5" w:rsidP="002C6BC5">
            <w:pPr>
              <w:rPr>
                <w:rFonts w:asciiTheme="majorHAnsi" w:hAnsiTheme="majorHAnsi"/>
                <w:sz w:val="20"/>
              </w:rPr>
            </w:pPr>
          </w:p>
        </w:tc>
      </w:tr>
      <w:tr w:rsidR="002C6BC5" w:rsidRPr="00407710" w:rsidTr="009D04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b/>
                <w:sz w:val="20"/>
              </w:rPr>
            </w:pPr>
            <w:r w:rsidRPr="00407710">
              <w:rPr>
                <w:rFonts w:asciiTheme="majorHAnsi" w:hAnsiTheme="majorHAnsi"/>
                <w:b/>
                <w:sz w:val="20"/>
              </w:rPr>
              <w:lastRenderedPageBreak/>
              <w:t>Leadership and strategic direction</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t>Leaders have not yet begun to explore a vision or strat</w:t>
            </w:r>
            <w:r>
              <w:rPr>
                <w:rFonts w:asciiTheme="majorHAnsi" w:hAnsiTheme="majorHAnsi"/>
                <w:sz w:val="20"/>
              </w:rPr>
              <w:t>egic plan for financial capability</w:t>
            </w:r>
            <w:r w:rsidRPr="00407710">
              <w:rPr>
                <w:rFonts w:asciiTheme="majorHAnsi" w:hAnsiTheme="majorHAnsi"/>
                <w:sz w:val="20"/>
              </w:rPr>
              <w:t>.</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t>Leaders investigate the</w:t>
            </w:r>
            <w:r>
              <w:rPr>
                <w:rFonts w:asciiTheme="majorHAnsi" w:hAnsiTheme="majorHAnsi"/>
                <w:sz w:val="20"/>
              </w:rPr>
              <w:t xml:space="preserve"> potential of financial capability</w:t>
            </w:r>
            <w:r w:rsidRPr="00407710">
              <w:rPr>
                <w:rFonts w:asciiTheme="majorHAnsi" w:hAnsiTheme="majorHAnsi"/>
                <w:sz w:val="20"/>
              </w:rPr>
              <w:t>.</w:t>
            </w:r>
          </w:p>
          <w:p w:rsidR="002C6BC5" w:rsidRPr="00407710" w:rsidRDefault="002C6BC5" w:rsidP="002C6BC5">
            <w:pPr>
              <w:rPr>
                <w:rFonts w:asciiTheme="majorHAnsi" w:hAnsiTheme="majorHAnsi"/>
                <w:sz w:val="20"/>
              </w:rPr>
            </w:pP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t>Leaders trial financial initiatives, and begin to align them to curriculum planning.</w:t>
            </w:r>
          </w:p>
          <w:p w:rsidR="002C6BC5" w:rsidRPr="00407710" w:rsidRDefault="002C6BC5" w:rsidP="002C6BC5">
            <w:pPr>
              <w:rPr>
                <w:rFonts w:asciiTheme="majorHAnsi" w:hAnsiTheme="majorHAnsi"/>
                <w:sz w:val="20"/>
              </w:rPr>
            </w:pPr>
            <w:r w:rsidRPr="00407710">
              <w:rPr>
                <w:rFonts w:asciiTheme="majorHAnsi" w:hAnsiTheme="majorHAnsi"/>
                <w:sz w:val="20"/>
              </w:rPr>
              <w:t>Action plans are endorsed by principal and senior management.</w:t>
            </w:r>
          </w:p>
          <w:p w:rsidR="002C6BC5" w:rsidRPr="00407710" w:rsidRDefault="002C6BC5" w:rsidP="002C6BC5">
            <w:pPr>
              <w:rPr>
                <w:rFonts w:asciiTheme="majorHAnsi" w:hAnsiTheme="majorHAnsi"/>
                <w:sz w:val="20"/>
              </w:rPr>
            </w:pPr>
            <w:r>
              <w:rPr>
                <w:rFonts w:asciiTheme="majorHAnsi" w:hAnsiTheme="majorHAnsi"/>
                <w:sz w:val="20"/>
              </w:rPr>
              <w:t>BOT is aware of financial capability</w:t>
            </w:r>
            <w:r w:rsidRPr="00407710">
              <w:rPr>
                <w:rFonts w:asciiTheme="majorHAnsi" w:hAnsiTheme="majorHAnsi"/>
                <w:sz w:val="20"/>
              </w:rPr>
              <w:t xml:space="preserve"> </w:t>
            </w:r>
            <w:r>
              <w:rPr>
                <w:rFonts w:asciiTheme="majorHAnsi" w:hAnsiTheme="majorHAnsi"/>
                <w:sz w:val="20"/>
              </w:rPr>
              <w:t xml:space="preserve">as a context for learning. </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t xml:space="preserve">Deliberate leadership aligns financial </w:t>
            </w:r>
            <w:r>
              <w:rPr>
                <w:rFonts w:asciiTheme="majorHAnsi" w:hAnsiTheme="majorHAnsi"/>
                <w:sz w:val="20"/>
              </w:rPr>
              <w:t>capability</w:t>
            </w:r>
            <w:r w:rsidRPr="00407710">
              <w:rPr>
                <w:rFonts w:asciiTheme="majorHAnsi" w:hAnsiTheme="majorHAnsi"/>
                <w:sz w:val="20"/>
              </w:rPr>
              <w:t xml:space="preserve"> with curriculum needs.</w:t>
            </w:r>
          </w:p>
          <w:p w:rsidR="002C6BC5" w:rsidRPr="00407710" w:rsidRDefault="002C6BC5" w:rsidP="002C6BC5">
            <w:pPr>
              <w:rPr>
                <w:rFonts w:asciiTheme="majorHAnsi" w:hAnsiTheme="majorHAnsi"/>
                <w:sz w:val="20"/>
              </w:rPr>
            </w:pPr>
            <w:r w:rsidRPr="00407710">
              <w:rPr>
                <w:rFonts w:asciiTheme="majorHAnsi" w:hAnsiTheme="majorHAnsi"/>
                <w:sz w:val="20"/>
              </w:rPr>
              <w:t xml:space="preserve">Financial </w:t>
            </w:r>
            <w:r>
              <w:rPr>
                <w:rFonts w:asciiTheme="majorHAnsi" w:hAnsiTheme="majorHAnsi"/>
                <w:sz w:val="20"/>
              </w:rPr>
              <w:t>capability</w:t>
            </w:r>
            <w:r w:rsidRPr="00407710">
              <w:rPr>
                <w:rFonts w:asciiTheme="majorHAnsi" w:hAnsiTheme="majorHAnsi"/>
                <w:sz w:val="20"/>
              </w:rPr>
              <w:t xml:space="preserve"> </w:t>
            </w:r>
            <w:r>
              <w:rPr>
                <w:rFonts w:asciiTheme="majorHAnsi" w:hAnsiTheme="majorHAnsi"/>
                <w:sz w:val="20"/>
              </w:rPr>
              <w:t>is reflected</w:t>
            </w:r>
            <w:r w:rsidRPr="00407710">
              <w:rPr>
                <w:rFonts w:asciiTheme="majorHAnsi" w:hAnsiTheme="majorHAnsi"/>
                <w:sz w:val="20"/>
              </w:rPr>
              <w:t xml:space="preserve"> in school documentation.</w:t>
            </w:r>
          </w:p>
          <w:p w:rsidR="002C6BC5" w:rsidRPr="00407710" w:rsidRDefault="002C6BC5" w:rsidP="002C6BC5">
            <w:pPr>
              <w:rPr>
                <w:rFonts w:asciiTheme="majorHAnsi" w:hAnsiTheme="majorHAnsi"/>
                <w:sz w:val="20"/>
              </w:rPr>
            </w:pP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C6BC5" w:rsidRDefault="002C6BC5" w:rsidP="002C6BC5">
            <w:pPr>
              <w:rPr>
                <w:rFonts w:asciiTheme="majorHAnsi" w:hAnsiTheme="majorHAnsi"/>
                <w:sz w:val="20"/>
              </w:rPr>
            </w:pPr>
            <w:r w:rsidRPr="00407710">
              <w:rPr>
                <w:rFonts w:asciiTheme="majorHAnsi" w:hAnsiTheme="majorHAnsi"/>
                <w:sz w:val="20"/>
              </w:rPr>
              <w:t xml:space="preserve">Leadership sustains and innovates </w:t>
            </w:r>
            <w:r>
              <w:rPr>
                <w:rFonts w:asciiTheme="majorHAnsi" w:hAnsiTheme="majorHAnsi"/>
                <w:sz w:val="20"/>
              </w:rPr>
              <w:t>the growth of financial capability</w:t>
            </w:r>
            <w:r w:rsidRPr="00407710">
              <w:rPr>
                <w:rFonts w:asciiTheme="majorHAnsi" w:hAnsiTheme="majorHAnsi"/>
                <w:sz w:val="20"/>
              </w:rPr>
              <w:t>.</w:t>
            </w:r>
          </w:p>
          <w:p w:rsidR="002C6BC5" w:rsidRPr="00407710" w:rsidRDefault="002C6BC5" w:rsidP="002C6BC5">
            <w:pPr>
              <w:rPr>
                <w:rFonts w:asciiTheme="majorHAnsi" w:hAnsiTheme="majorHAnsi"/>
                <w:sz w:val="20"/>
              </w:rPr>
            </w:pPr>
            <w:r>
              <w:rPr>
                <w:rFonts w:asciiTheme="majorHAnsi" w:hAnsiTheme="majorHAnsi"/>
                <w:sz w:val="20"/>
              </w:rPr>
              <w:t xml:space="preserve">Leadership initiates opportunities to link school/home/community links to enhance financial capability </w:t>
            </w:r>
          </w:p>
        </w:tc>
      </w:tr>
      <w:tr w:rsidR="002C6BC5" w:rsidRPr="00C64DFC" w:rsidTr="009D04DF">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C6BC5" w:rsidRPr="00402F97" w:rsidRDefault="002C6BC5" w:rsidP="002C6BC5">
            <w:pPr>
              <w:rPr>
                <w:rFonts w:asciiTheme="majorHAnsi" w:hAnsiTheme="majorHAnsi"/>
                <w:b/>
                <w:sz w:val="20"/>
              </w:rPr>
            </w:pPr>
            <w:r>
              <w:rPr>
                <w:rFonts w:asciiTheme="majorHAnsi" w:hAnsiTheme="majorHAnsi"/>
                <w:b/>
                <w:sz w:val="20"/>
              </w:rPr>
              <w:t>Beyond the Classroom</w:t>
            </w:r>
          </w:p>
        </w:tc>
        <w:tc>
          <w:tcPr>
            <w:tcW w:w="0" w:type="auto"/>
            <w:tcBorders>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t>The school community has yet to consider how to engage with the community/</w:t>
            </w:r>
            <w:proofErr w:type="spellStart"/>
            <w:r w:rsidRPr="00407710">
              <w:rPr>
                <w:rFonts w:asciiTheme="majorHAnsi" w:hAnsiTheme="majorHAnsi"/>
                <w:sz w:val="20"/>
              </w:rPr>
              <w:t>whānau</w:t>
            </w:r>
            <w:proofErr w:type="spellEnd"/>
            <w:r w:rsidRPr="00407710">
              <w:rPr>
                <w:rFonts w:asciiTheme="majorHAnsi" w:hAnsiTheme="majorHAnsi"/>
                <w:sz w:val="20"/>
              </w:rPr>
              <w:t xml:space="preserve">/iwi with or about financial </w:t>
            </w:r>
            <w:r>
              <w:rPr>
                <w:rFonts w:asciiTheme="majorHAnsi" w:hAnsiTheme="majorHAnsi"/>
                <w:sz w:val="20"/>
              </w:rPr>
              <w:t xml:space="preserve">capability. </w:t>
            </w:r>
          </w:p>
          <w:p w:rsidR="002C6BC5" w:rsidRPr="00407710" w:rsidRDefault="002C6BC5" w:rsidP="002C6BC5">
            <w:pPr>
              <w:rPr>
                <w:rFonts w:asciiTheme="majorHAnsi" w:hAnsiTheme="majorHAnsi"/>
                <w:sz w:val="20"/>
              </w:rPr>
            </w:pPr>
          </w:p>
        </w:tc>
        <w:tc>
          <w:tcPr>
            <w:tcW w:w="0" w:type="auto"/>
            <w:tcBorders>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lastRenderedPageBreak/>
              <w:t xml:space="preserve">Opportunities are identified to work with the community/ </w:t>
            </w:r>
            <w:proofErr w:type="spellStart"/>
            <w:r w:rsidRPr="00407710">
              <w:rPr>
                <w:rFonts w:asciiTheme="majorHAnsi" w:hAnsiTheme="majorHAnsi"/>
                <w:sz w:val="20"/>
              </w:rPr>
              <w:t>whānau</w:t>
            </w:r>
            <w:proofErr w:type="spellEnd"/>
            <w:r w:rsidRPr="00407710">
              <w:rPr>
                <w:rFonts w:asciiTheme="majorHAnsi" w:hAnsiTheme="majorHAnsi"/>
                <w:sz w:val="20"/>
              </w:rPr>
              <w:t xml:space="preserve"> /iwi </w:t>
            </w:r>
            <w:r w:rsidRPr="00407710">
              <w:rPr>
                <w:rFonts w:asciiTheme="majorHAnsi" w:hAnsiTheme="majorHAnsi"/>
                <w:sz w:val="20"/>
              </w:rPr>
              <w:lastRenderedPageBreak/>
              <w:t xml:space="preserve">using financial </w:t>
            </w:r>
            <w:r>
              <w:rPr>
                <w:rFonts w:asciiTheme="majorHAnsi" w:hAnsiTheme="majorHAnsi"/>
                <w:sz w:val="20"/>
              </w:rPr>
              <w:t>capability</w:t>
            </w:r>
            <w:r w:rsidRPr="00407710">
              <w:rPr>
                <w:rFonts w:asciiTheme="majorHAnsi" w:hAnsiTheme="majorHAnsi"/>
                <w:sz w:val="20"/>
              </w:rPr>
              <w:t>, and to address its impact.</w:t>
            </w:r>
          </w:p>
          <w:p w:rsidR="002C6BC5" w:rsidRPr="00407710" w:rsidRDefault="002C6BC5" w:rsidP="002C6BC5">
            <w:pPr>
              <w:rPr>
                <w:rFonts w:asciiTheme="majorHAnsi" w:hAnsiTheme="majorHAnsi"/>
                <w:sz w:val="20"/>
              </w:rPr>
            </w:pPr>
            <w:r w:rsidRPr="00407710">
              <w:rPr>
                <w:rFonts w:asciiTheme="majorHAnsi" w:hAnsiTheme="majorHAnsi"/>
                <w:sz w:val="20"/>
              </w:rPr>
              <w:t>School informs community and invites interest from community.</w:t>
            </w:r>
          </w:p>
        </w:tc>
        <w:tc>
          <w:tcPr>
            <w:tcW w:w="0" w:type="auto"/>
            <w:tcBorders>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lastRenderedPageBreak/>
              <w:t xml:space="preserve">Activities are trialled to deliberately extend community relationships </w:t>
            </w:r>
            <w:r w:rsidRPr="00407710">
              <w:rPr>
                <w:rFonts w:asciiTheme="majorHAnsi" w:hAnsiTheme="majorHAnsi"/>
                <w:sz w:val="20"/>
              </w:rPr>
              <w:lastRenderedPageBreak/>
              <w:t xml:space="preserve">using financial </w:t>
            </w:r>
            <w:r>
              <w:rPr>
                <w:rFonts w:asciiTheme="majorHAnsi" w:hAnsiTheme="majorHAnsi"/>
                <w:sz w:val="20"/>
              </w:rPr>
              <w:t>capability</w:t>
            </w:r>
            <w:r w:rsidRPr="00407710">
              <w:rPr>
                <w:rFonts w:asciiTheme="majorHAnsi" w:hAnsiTheme="majorHAnsi"/>
                <w:sz w:val="20"/>
              </w:rPr>
              <w:t>, and to explore its impact.</w:t>
            </w:r>
          </w:p>
          <w:p w:rsidR="002C6BC5" w:rsidRPr="00407710" w:rsidRDefault="002C6BC5" w:rsidP="002C6BC5">
            <w:pPr>
              <w:rPr>
                <w:rFonts w:asciiTheme="majorHAnsi" w:hAnsiTheme="majorHAnsi"/>
                <w:sz w:val="20"/>
              </w:rPr>
            </w:pPr>
            <w:r w:rsidRPr="00407710">
              <w:rPr>
                <w:rFonts w:asciiTheme="majorHAnsi" w:hAnsiTheme="majorHAnsi"/>
                <w:sz w:val="20"/>
              </w:rPr>
              <w:t>Principals and senior management can report that school parent/community experts, businesses are engaged in action plans.</w:t>
            </w:r>
          </w:p>
          <w:p w:rsidR="002C6BC5" w:rsidRPr="00407710" w:rsidRDefault="002C6BC5" w:rsidP="002C6BC5">
            <w:pPr>
              <w:rPr>
                <w:rFonts w:asciiTheme="majorHAnsi" w:hAnsiTheme="majorHAnsi"/>
                <w:sz w:val="20"/>
              </w:rPr>
            </w:pPr>
            <w:r w:rsidRPr="00407710">
              <w:rPr>
                <w:rFonts w:asciiTheme="majorHAnsi" w:hAnsiTheme="majorHAnsi"/>
                <w:sz w:val="20"/>
              </w:rPr>
              <w:t>Data is gathered to identify expertise/interested parties that can support school.</w:t>
            </w:r>
          </w:p>
        </w:tc>
        <w:tc>
          <w:tcPr>
            <w:tcW w:w="0" w:type="auto"/>
            <w:tcBorders>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sidRPr="00407710">
              <w:rPr>
                <w:rFonts w:asciiTheme="majorHAnsi" w:hAnsiTheme="majorHAnsi"/>
                <w:sz w:val="20"/>
              </w:rPr>
              <w:lastRenderedPageBreak/>
              <w:t xml:space="preserve">Communities are deliberately engaged through appropriate financial </w:t>
            </w:r>
            <w:r>
              <w:rPr>
                <w:rFonts w:asciiTheme="majorHAnsi" w:hAnsiTheme="majorHAnsi"/>
                <w:sz w:val="20"/>
              </w:rPr>
              <w:t>capability</w:t>
            </w:r>
            <w:r w:rsidRPr="00407710">
              <w:rPr>
                <w:rFonts w:asciiTheme="majorHAnsi" w:hAnsiTheme="majorHAnsi"/>
                <w:sz w:val="20"/>
              </w:rPr>
              <w:t>, and are responding to its impact.</w:t>
            </w:r>
          </w:p>
          <w:p w:rsidR="002C6BC5" w:rsidRPr="00407710" w:rsidRDefault="002C6BC5" w:rsidP="002C6BC5">
            <w:pPr>
              <w:rPr>
                <w:rFonts w:asciiTheme="majorHAnsi" w:hAnsiTheme="majorHAnsi"/>
                <w:sz w:val="20"/>
              </w:rPr>
            </w:pPr>
            <w:r w:rsidRPr="00407710">
              <w:rPr>
                <w:rFonts w:asciiTheme="majorHAnsi" w:hAnsiTheme="majorHAnsi"/>
                <w:sz w:val="20"/>
              </w:rPr>
              <w:lastRenderedPageBreak/>
              <w:t>Principals and senior management can report that local community experts, businesses are engaged in action plans.</w:t>
            </w:r>
          </w:p>
        </w:tc>
        <w:tc>
          <w:tcPr>
            <w:tcW w:w="0" w:type="auto"/>
            <w:tcBorders>
              <w:bottom w:val="single" w:sz="8" w:space="0" w:color="000000"/>
              <w:right w:val="single" w:sz="8" w:space="0" w:color="000000"/>
            </w:tcBorders>
            <w:tcMar>
              <w:top w:w="100" w:type="dxa"/>
              <w:left w:w="100" w:type="dxa"/>
              <w:bottom w:w="100" w:type="dxa"/>
              <w:right w:w="100" w:type="dxa"/>
            </w:tcMar>
          </w:tcPr>
          <w:p w:rsidR="002C6BC5" w:rsidRPr="00407710" w:rsidRDefault="002C6BC5" w:rsidP="002C6BC5">
            <w:pPr>
              <w:rPr>
                <w:rFonts w:asciiTheme="majorHAnsi" w:hAnsiTheme="majorHAnsi"/>
                <w:sz w:val="20"/>
              </w:rPr>
            </w:pPr>
            <w:r>
              <w:rPr>
                <w:rFonts w:asciiTheme="majorHAnsi" w:hAnsiTheme="majorHAnsi"/>
                <w:sz w:val="20"/>
              </w:rPr>
              <w:lastRenderedPageBreak/>
              <w:t xml:space="preserve">A range of </w:t>
            </w:r>
            <w:r w:rsidRPr="00407710">
              <w:rPr>
                <w:rFonts w:asciiTheme="majorHAnsi" w:hAnsiTheme="majorHAnsi"/>
                <w:sz w:val="20"/>
              </w:rPr>
              <w:t xml:space="preserve">communications enhance the way partnerships actively engage in sustained response to the impact of financial </w:t>
            </w:r>
            <w:r>
              <w:rPr>
                <w:rFonts w:asciiTheme="majorHAnsi" w:hAnsiTheme="majorHAnsi"/>
                <w:sz w:val="20"/>
              </w:rPr>
              <w:t>capability</w:t>
            </w:r>
            <w:r w:rsidRPr="00407710">
              <w:rPr>
                <w:rFonts w:asciiTheme="majorHAnsi" w:hAnsiTheme="majorHAnsi"/>
                <w:sz w:val="20"/>
              </w:rPr>
              <w:t>.</w:t>
            </w:r>
          </w:p>
          <w:p w:rsidR="002C6BC5" w:rsidRPr="00407710" w:rsidRDefault="002C6BC5" w:rsidP="002C6BC5">
            <w:pPr>
              <w:rPr>
                <w:rFonts w:asciiTheme="majorHAnsi" w:hAnsiTheme="majorHAnsi"/>
                <w:sz w:val="20"/>
              </w:rPr>
            </w:pPr>
            <w:r w:rsidRPr="00407710">
              <w:rPr>
                <w:rFonts w:asciiTheme="majorHAnsi" w:hAnsiTheme="majorHAnsi"/>
                <w:sz w:val="20"/>
              </w:rPr>
              <w:lastRenderedPageBreak/>
              <w:t xml:space="preserve">Principals and senior management can </w:t>
            </w:r>
            <w:r>
              <w:rPr>
                <w:rFonts w:asciiTheme="majorHAnsi" w:hAnsiTheme="majorHAnsi"/>
                <w:sz w:val="20"/>
              </w:rPr>
              <w:t>report t</w:t>
            </w:r>
            <w:r w:rsidRPr="00407710">
              <w:rPr>
                <w:rFonts w:asciiTheme="majorHAnsi" w:hAnsiTheme="majorHAnsi"/>
                <w:sz w:val="20"/>
              </w:rPr>
              <w:t>hat they are actively seeking and engaging new</w:t>
            </w:r>
            <w:r>
              <w:rPr>
                <w:rFonts w:asciiTheme="majorHAnsi" w:hAnsiTheme="majorHAnsi"/>
                <w:sz w:val="20"/>
              </w:rPr>
              <w:t xml:space="preserve"> i</w:t>
            </w:r>
            <w:r w:rsidRPr="00407710">
              <w:rPr>
                <w:rFonts w:asciiTheme="majorHAnsi" w:hAnsiTheme="majorHAnsi"/>
                <w:sz w:val="20"/>
              </w:rPr>
              <w:t>nitiatives from within the community.</w:t>
            </w:r>
          </w:p>
        </w:tc>
      </w:tr>
    </w:tbl>
    <w:p w:rsidR="00402F97" w:rsidRDefault="00402F97" w:rsidP="00402F97"/>
    <w:p w:rsidR="00402F97" w:rsidRPr="00125E98" w:rsidRDefault="00402F97" w:rsidP="00402F97">
      <w:pPr>
        <w:jc w:val="center"/>
      </w:pPr>
    </w:p>
    <w:p w:rsidR="002C6BC5" w:rsidRDefault="002C6BC5" w:rsidP="002C6BC5">
      <w:pPr>
        <w:spacing w:after="0" w:line="240" w:lineRule="auto"/>
        <w:rPr>
          <w:rFonts w:ascii="Calibri" w:eastAsia="Calibri" w:hAnsi="Calibri" w:cs="Calibri"/>
          <w:color w:val="000000"/>
          <w:sz w:val="20"/>
          <w:szCs w:val="20"/>
          <w:shd w:val="clear" w:color="auto" w:fill="EFEFEF"/>
          <w:lang w:eastAsia="en-NZ"/>
        </w:rPr>
      </w:pPr>
      <w:r w:rsidRPr="005D2898">
        <w:rPr>
          <w:rFonts w:ascii="Calibri" w:eastAsia="Calibri" w:hAnsi="Calibri" w:cs="Calibri"/>
          <w:color w:val="000000"/>
          <w:sz w:val="20"/>
          <w:szCs w:val="20"/>
          <w:shd w:val="clear" w:color="auto" w:fill="EFEFEF"/>
          <w:lang w:eastAsia="en-NZ"/>
        </w:rPr>
        <w:t xml:space="preserve">As </w:t>
      </w:r>
      <w:r>
        <w:rPr>
          <w:rFonts w:ascii="Calibri" w:eastAsia="Calibri" w:hAnsi="Calibri" w:cs="Calibri"/>
          <w:color w:val="000000"/>
          <w:sz w:val="20"/>
          <w:szCs w:val="20"/>
          <w:shd w:val="clear" w:color="auto" w:fill="EFEFEF"/>
          <w:lang w:eastAsia="en-NZ"/>
        </w:rPr>
        <w:t>you</w:t>
      </w:r>
      <w:r w:rsidRPr="005D2898">
        <w:rPr>
          <w:rFonts w:ascii="Calibri" w:eastAsia="Calibri" w:hAnsi="Calibri" w:cs="Calibri"/>
          <w:color w:val="000000"/>
          <w:sz w:val="20"/>
          <w:szCs w:val="20"/>
          <w:shd w:val="clear" w:color="auto" w:fill="EFEFEF"/>
          <w:lang w:eastAsia="en-NZ"/>
        </w:rPr>
        <w:t xml:space="preserve"> move through the </w:t>
      </w:r>
      <w:r>
        <w:rPr>
          <w:rFonts w:ascii="Calibri" w:eastAsia="Calibri" w:hAnsi="Calibri" w:cs="Calibri"/>
          <w:b/>
          <w:color w:val="000000"/>
          <w:sz w:val="20"/>
          <w:szCs w:val="20"/>
          <w:shd w:val="clear" w:color="auto" w:fill="EFEFEF"/>
          <w:lang w:eastAsia="en-NZ"/>
        </w:rPr>
        <w:t>five phases of financial capability</w:t>
      </w:r>
      <w:r w:rsidRPr="005D2898">
        <w:rPr>
          <w:rFonts w:ascii="Calibri" w:eastAsia="Calibri" w:hAnsi="Calibri" w:cs="Calibri"/>
          <w:color w:val="000000"/>
          <w:sz w:val="20"/>
          <w:szCs w:val="20"/>
          <w:shd w:val="clear" w:color="auto" w:fill="EFEFEF"/>
          <w:lang w:eastAsia="en-NZ"/>
        </w:rPr>
        <w:t xml:space="preserve"> attach a link to the evidence in each </w:t>
      </w:r>
      <w:r w:rsidRPr="005D2898">
        <w:rPr>
          <w:rFonts w:ascii="Calibri" w:eastAsia="Calibri" w:hAnsi="Calibri" w:cs="Calibri"/>
          <w:b/>
          <w:color w:val="000000"/>
          <w:sz w:val="20"/>
          <w:szCs w:val="20"/>
          <w:shd w:val="clear" w:color="auto" w:fill="EFEFEF"/>
          <w:lang w:eastAsia="en-NZ"/>
        </w:rPr>
        <w:t>dimension</w:t>
      </w:r>
      <w:r w:rsidRPr="005D2898">
        <w:rPr>
          <w:rFonts w:ascii="Calibri" w:eastAsia="Calibri" w:hAnsi="Calibri" w:cs="Calibri"/>
          <w:color w:val="000000"/>
          <w:sz w:val="20"/>
          <w:szCs w:val="20"/>
          <w:shd w:val="clear" w:color="auto" w:fill="EFEFEF"/>
          <w:lang w:eastAsia="en-NZ"/>
        </w:rPr>
        <w:t>. This is important in order to gauge ongoing progress but also valuable when this document is being regularly evaluated by outside providers so ongoing evidence is apparent. Ways of showing possible evidence for the impl</w:t>
      </w:r>
      <w:r>
        <w:rPr>
          <w:rFonts w:ascii="Calibri" w:eastAsia="Calibri" w:hAnsi="Calibri" w:cs="Calibri"/>
          <w:color w:val="000000"/>
          <w:sz w:val="20"/>
          <w:szCs w:val="20"/>
          <w:shd w:val="clear" w:color="auto" w:fill="EFEFEF"/>
          <w:lang w:eastAsia="en-NZ"/>
        </w:rPr>
        <w:t xml:space="preserve">ementation of this action plan </w:t>
      </w:r>
      <w:r w:rsidRPr="005D2898">
        <w:rPr>
          <w:rFonts w:ascii="Calibri" w:eastAsia="Calibri" w:hAnsi="Calibri" w:cs="Calibri"/>
          <w:color w:val="000000"/>
          <w:sz w:val="20"/>
          <w:szCs w:val="20"/>
          <w:shd w:val="clear" w:color="auto" w:fill="EFEFEF"/>
          <w:lang w:eastAsia="en-NZ"/>
        </w:rPr>
        <w:t>might include:</w:t>
      </w:r>
    </w:p>
    <w:p w:rsidR="002C6BC5" w:rsidRDefault="002C6BC5" w:rsidP="002C6BC5">
      <w:pPr>
        <w:spacing w:after="0" w:line="240" w:lineRule="auto"/>
        <w:rPr>
          <w:rFonts w:ascii="Calibri" w:eastAsia="Calibri" w:hAnsi="Calibri" w:cs="Calibri"/>
          <w:color w:val="000000"/>
          <w:sz w:val="20"/>
          <w:szCs w:val="20"/>
          <w:shd w:val="clear" w:color="auto" w:fill="EFEFEF"/>
          <w:lang w:eastAsia="en-NZ"/>
        </w:rPr>
      </w:pPr>
    </w:p>
    <w:p w:rsidR="002C6BC5" w:rsidRDefault="002C6BC5" w:rsidP="002C6BC5">
      <w:pPr>
        <w:rPr>
          <w:rFonts w:ascii="Calibri" w:eastAsia="Calibri" w:hAnsi="Calibri" w:cs="Calibri"/>
          <w:color w:val="000000"/>
          <w:sz w:val="20"/>
          <w:szCs w:val="20"/>
          <w:lang w:eastAsia="en-NZ"/>
        </w:rPr>
      </w:pPr>
      <w:r>
        <w:rPr>
          <w:rFonts w:ascii="Calibri" w:eastAsia="Calibri" w:hAnsi="Calibri" w:cs="Calibri"/>
          <w:color w:val="000000"/>
          <w:sz w:val="20"/>
          <w:szCs w:val="20"/>
          <w:lang w:eastAsia="en-NZ"/>
        </w:rPr>
        <w:t>Minutes of meetings</w:t>
      </w:r>
      <w:r w:rsidRPr="005D2898">
        <w:rPr>
          <w:rFonts w:ascii="Calibri" w:eastAsia="Calibri" w:hAnsi="Calibri" w:cs="Calibri"/>
          <w:color w:val="000000"/>
          <w:sz w:val="20"/>
          <w:szCs w:val="20"/>
          <w:lang w:eastAsia="en-NZ"/>
        </w:rPr>
        <w:t>/school documentation/staff</w:t>
      </w:r>
      <w:r>
        <w:rPr>
          <w:rFonts w:ascii="Calibri" w:eastAsia="Calibri" w:hAnsi="Calibri" w:cs="Calibri"/>
          <w:color w:val="000000"/>
          <w:sz w:val="20"/>
          <w:szCs w:val="20"/>
          <w:lang w:eastAsia="en-NZ"/>
        </w:rPr>
        <w:t xml:space="preserve"> and student</w:t>
      </w:r>
      <w:r w:rsidRPr="005D2898">
        <w:rPr>
          <w:rFonts w:ascii="Calibri" w:eastAsia="Calibri" w:hAnsi="Calibri" w:cs="Calibri"/>
          <w:color w:val="000000"/>
          <w:sz w:val="20"/>
          <w:szCs w:val="20"/>
          <w:lang w:eastAsia="en-NZ"/>
        </w:rPr>
        <w:t xml:space="preserve"> surveys/parent and community communications/parent data base expertise/action plans/strategic plans/interviews/student conferences/video/inquiry/student outcomes/student feedback/questionnaires/student achievement data/teacher inquiry/reflective practice/classroom observations/new ma</w:t>
      </w:r>
      <w:r>
        <w:rPr>
          <w:rFonts w:ascii="Calibri" w:eastAsia="Calibri" w:hAnsi="Calibri" w:cs="Calibri"/>
          <w:color w:val="000000"/>
          <w:sz w:val="20"/>
          <w:szCs w:val="20"/>
          <w:lang w:eastAsia="en-NZ"/>
        </w:rPr>
        <w:t>terial or resources developed/o</w:t>
      </w:r>
      <w:r w:rsidRPr="005D2898">
        <w:rPr>
          <w:rFonts w:ascii="Calibri" w:eastAsia="Calibri" w:hAnsi="Calibri" w:cs="Calibri"/>
          <w:color w:val="000000"/>
          <w:sz w:val="20"/>
          <w:szCs w:val="20"/>
          <w:lang w:eastAsia="en-NZ"/>
        </w:rPr>
        <w:t>verall teacher judgements</w:t>
      </w:r>
      <w:r>
        <w:rPr>
          <w:rFonts w:ascii="Calibri" w:eastAsia="Calibri" w:hAnsi="Calibri" w:cs="Calibri"/>
          <w:color w:val="000000"/>
          <w:sz w:val="20"/>
          <w:szCs w:val="20"/>
          <w:lang w:eastAsia="en-NZ"/>
        </w:rPr>
        <w:t>/incidental moments of teaching, etc.</w:t>
      </w:r>
    </w:p>
    <w:p w:rsidR="00402F97" w:rsidRDefault="00402F97" w:rsidP="00402F97">
      <w:pPr>
        <w:jc w:val="right"/>
      </w:pPr>
    </w:p>
    <w:p w:rsidR="00A97B00" w:rsidRDefault="00A97B00" w:rsidP="00A97B00">
      <w:pPr>
        <w:rPr>
          <w:b/>
          <w:color w:val="5B9BD5" w:themeColor="accent1"/>
          <w:lang w:eastAsia="en-NZ"/>
        </w:rPr>
      </w:pPr>
    </w:p>
    <w:p w:rsidR="00A909C0" w:rsidRDefault="00A909C0">
      <w:bookmarkStart w:id="8" w:name="_GoBack"/>
      <w:bookmarkEnd w:id="8"/>
    </w:p>
    <w:sectPr w:rsidR="00A909C0" w:rsidSect="00DA3BC6">
      <w:headerReference w:type="default" r:id="rId11"/>
      <w:footerReference w:type="default" r:id="rId12"/>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46" w:rsidRDefault="00574046" w:rsidP="005D2898">
      <w:pPr>
        <w:spacing w:after="0" w:line="240" w:lineRule="auto"/>
      </w:pPr>
      <w:r>
        <w:separator/>
      </w:r>
    </w:p>
  </w:endnote>
  <w:endnote w:type="continuationSeparator" w:id="0">
    <w:p w:rsidR="00574046" w:rsidRDefault="00574046" w:rsidP="005D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6B" w:rsidRDefault="002D196B" w:rsidP="002D196B">
    <w:pPr>
      <w:tabs>
        <w:tab w:val="center" w:pos="4513"/>
        <w:tab w:val="right" w:pos="9026"/>
      </w:tabs>
      <w:spacing w:after="0" w:line="240" w:lineRule="auto"/>
      <w:jc w:val="right"/>
      <w:rPr>
        <w:rFonts w:ascii="Arial" w:eastAsia="Arial" w:hAnsi="Arial" w:cs="Arial"/>
        <w:color w:val="000000"/>
        <w:sz w:val="16"/>
        <w:szCs w:val="16"/>
        <w:lang w:eastAsia="en-NZ"/>
      </w:rPr>
    </w:pPr>
  </w:p>
  <w:p w:rsidR="005D2898" w:rsidRPr="005D2898" w:rsidRDefault="005D2898" w:rsidP="005D2898">
    <w:pPr>
      <w:tabs>
        <w:tab w:val="center" w:pos="4513"/>
        <w:tab w:val="right" w:pos="9026"/>
      </w:tabs>
      <w:spacing w:after="0" w:line="240" w:lineRule="auto"/>
      <w:jc w:val="right"/>
      <w:rPr>
        <w:rFonts w:ascii="Arial" w:eastAsia="Arial" w:hAnsi="Arial" w:cs="Arial"/>
        <w:color w:val="000000"/>
        <w:lang w:eastAsia="en-NZ"/>
      </w:rPr>
    </w:pPr>
    <w:r w:rsidRPr="005D2898">
      <w:rPr>
        <w:rFonts w:ascii="Calibri" w:eastAsia="Calibri" w:hAnsi="Calibri" w:cs="Calibri"/>
        <w:color w:val="000000"/>
        <w:sz w:val="20"/>
        <w:szCs w:val="20"/>
        <w:lang w:eastAsia="en-NZ"/>
      </w:rPr>
      <w:t xml:space="preserve">          </w:t>
    </w:r>
    <w:r w:rsidRPr="005D2898">
      <w:rPr>
        <w:rFonts w:ascii="Arial" w:eastAsia="Arial" w:hAnsi="Arial" w:cs="Arial"/>
        <w:color w:val="000000"/>
        <w:lang w:eastAsia="en-NZ"/>
      </w:rPr>
      <w:fldChar w:fldCharType="begin"/>
    </w:r>
    <w:r w:rsidRPr="005D2898">
      <w:rPr>
        <w:rFonts w:ascii="Arial" w:eastAsia="Arial" w:hAnsi="Arial" w:cs="Arial"/>
        <w:color w:val="000000"/>
        <w:lang w:eastAsia="en-NZ"/>
      </w:rPr>
      <w:instrText>PAGE</w:instrText>
    </w:r>
    <w:r w:rsidRPr="005D2898">
      <w:rPr>
        <w:rFonts w:ascii="Arial" w:eastAsia="Arial" w:hAnsi="Arial" w:cs="Arial"/>
        <w:color w:val="000000"/>
        <w:lang w:eastAsia="en-NZ"/>
      </w:rPr>
      <w:fldChar w:fldCharType="separate"/>
    </w:r>
    <w:r w:rsidR="002D196B">
      <w:rPr>
        <w:rFonts w:ascii="Arial" w:eastAsia="Arial" w:hAnsi="Arial" w:cs="Arial"/>
        <w:noProof/>
        <w:color w:val="000000"/>
        <w:lang w:eastAsia="en-NZ"/>
      </w:rPr>
      <w:t>5</w:t>
    </w:r>
    <w:r w:rsidRPr="005D2898">
      <w:rPr>
        <w:rFonts w:ascii="Arial" w:eastAsia="Arial" w:hAnsi="Arial" w:cs="Arial"/>
        <w:color w:val="000000"/>
        <w:lang w:eastAsia="en-NZ"/>
      </w:rPr>
      <w:fldChar w:fldCharType="end"/>
    </w:r>
  </w:p>
  <w:p w:rsidR="005D2898" w:rsidRDefault="002D196B">
    <w:pPr>
      <w:pStyle w:val="Footer"/>
    </w:pPr>
    <w:r w:rsidRPr="002D196B">
      <w:rPr>
        <w:rFonts w:ascii="Arial" w:eastAsia="Arial" w:hAnsi="Arial" w:cs="Arial"/>
        <w:noProof/>
        <w:color w:val="000000"/>
        <w:sz w:val="16"/>
        <w:szCs w:val="16"/>
        <w:lang w:eastAsia="en-NZ"/>
      </w:rPr>
      <mc:AlternateContent>
        <mc:Choice Requires="wps">
          <w:drawing>
            <wp:anchor distT="45720" distB="45720" distL="114300" distR="114300" simplePos="0" relativeHeight="251659264" behindDoc="0" locked="0" layoutInCell="1" allowOverlap="1" wp14:anchorId="7C1A4737" wp14:editId="172AFFAB">
              <wp:simplePos x="0" y="0"/>
              <wp:positionH relativeFrom="column">
                <wp:posOffset>20320</wp:posOffset>
              </wp:positionH>
              <wp:positionV relativeFrom="paragraph">
                <wp:posOffset>40005</wp:posOffset>
              </wp:positionV>
              <wp:extent cx="7740650" cy="9309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930910"/>
                      </a:xfrm>
                      <a:prstGeom prst="rect">
                        <a:avLst/>
                      </a:prstGeom>
                      <a:solidFill>
                        <a:srgbClr val="FFFFFF"/>
                      </a:solidFill>
                      <a:ln w="9525">
                        <a:noFill/>
                        <a:miter lim="800000"/>
                        <a:headEnd/>
                        <a:tailEnd/>
                      </a:ln>
                    </wps:spPr>
                    <wps:txbx>
                      <w:txbxContent>
                        <w:p w:rsidR="002D196B" w:rsidRPr="002D196B" w:rsidRDefault="002D196B" w:rsidP="002D196B">
                          <w:pPr>
                            <w:tabs>
                              <w:tab w:val="center" w:pos="4513"/>
                              <w:tab w:val="right" w:pos="9026"/>
                            </w:tabs>
                            <w:spacing w:after="0" w:line="240" w:lineRule="auto"/>
                            <w:rPr>
                              <w:rFonts w:ascii="Arial" w:eastAsia="Arial" w:hAnsi="Arial" w:cs="Arial"/>
                              <w:color w:val="1F4E79" w:themeColor="accent1" w:themeShade="80"/>
                              <w:sz w:val="16"/>
                              <w:szCs w:val="16"/>
                              <w:lang w:eastAsia="en-NZ"/>
                            </w:rPr>
                          </w:pPr>
                          <w:r w:rsidRPr="002D196B">
                            <w:rPr>
                              <w:rFonts w:ascii="Arial" w:eastAsia="Arial" w:hAnsi="Arial" w:cs="Arial"/>
                              <w:color w:val="000000"/>
                              <w:sz w:val="16"/>
                              <w:szCs w:val="16"/>
                              <w:lang w:eastAsia="en-NZ"/>
                            </w:rPr>
                            <w:t>This resource was developed by the Upper Harbour Sorted Schools, an initiative supported by the Commission for</w:t>
                          </w:r>
                          <w:r>
                            <w:rPr>
                              <w:rFonts w:ascii="Arial" w:eastAsia="Arial" w:hAnsi="Arial" w:cs="Arial"/>
                              <w:color w:val="000000"/>
                              <w:sz w:val="16"/>
                              <w:szCs w:val="16"/>
                              <w:lang w:eastAsia="en-NZ"/>
                            </w:rPr>
                            <w:t xml:space="preserve"> </w:t>
                          </w:r>
                          <w:r w:rsidRPr="002D196B">
                            <w:rPr>
                              <w:rFonts w:ascii="Arial" w:eastAsia="Arial" w:hAnsi="Arial" w:cs="Arial"/>
                              <w:color w:val="000000"/>
                              <w:sz w:val="16"/>
                              <w:szCs w:val="16"/>
                              <w:lang w:eastAsia="en-NZ"/>
                            </w:rPr>
                            <w:t>Financial Capability and designed to broaden the reach of financial education in schools.</w:t>
                          </w:r>
                          <w:r>
                            <w:rPr>
                              <w:rFonts w:ascii="Arial" w:eastAsia="Arial" w:hAnsi="Arial" w:cs="Arial"/>
                              <w:color w:val="000000"/>
                              <w:sz w:val="16"/>
                              <w:szCs w:val="16"/>
                              <w:lang w:eastAsia="en-NZ"/>
                            </w:rPr>
                            <w:t xml:space="preserve"> </w:t>
                          </w:r>
                          <w:hyperlink r:id="rId1" w:history="1">
                            <w:r w:rsidRPr="002D196B">
                              <w:rPr>
                                <w:rStyle w:val="Hyperlink"/>
                                <w:rFonts w:ascii="Arial" w:eastAsia="Arial" w:hAnsi="Arial" w:cs="Arial"/>
                                <w:color w:val="1F4E79" w:themeColor="accent1" w:themeShade="80"/>
                                <w:sz w:val="16"/>
                                <w:szCs w:val="16"/>
                                <w:lang w:eastAsia="en-NZ"/>
                              </w:rPr>
                              <w:t>http://nzcurriculum.tki.org.nz/Curriculum-resources/Financial-capability/Financial-capability-in-action/Getting-started</w:t>
                            </w:r>
                          </w:hyperlink>
                          <w:r w:rsidRPr="002D196B">
                            <w:rPr>
                              <w:rFonts w:ascii="Arial" w:eastAsia="Arial" w:hAnsi="Arial" w:cs="Arial"/>
                              <w:color w:val="1F4E79" w:themeColor="accent1" w:themeShade="80"/>
                              <w:sz w:val="16"/>
                              <w:szCs w:val="16"/>
                              <w:lang w:eastAsia="en-NZ"/>
                            </w:rPr>
                            <w:t xml:space="preserve"> </w:t>
                          </w:r>
                        </w:p>
                        <w:p w:rsidR="002D196B" w:rsidRPr="002D196B" w:rsidRDefault="002D196B" w:rsidP="002D196B">
                          <w:pPr>
                            <w:tabs>
                              <w:tab w:val="center" w:pos="4513"/>
                              <w:tab w:val="right" w:pos="9026"/>
                            </w:tabs>
                            <w:spacing w:after="0" w:line="240" w:lineRule="auto"/>
                            <w:rPr>
                              <w:rFonts w:ascii="Arial" w:eastAsia="Arial" w:hAnsi="Arial" w:cs="Arial"/>
                              <w:color w:val="1F4E79" w:themeColor="accent1" w:themeShade="80"/>
                              <w:sz w:val="16"/>
                              <w:szCs w:val="16"/>
                              <w:lang w:eastAsia="en-NZ"/>
                            </w:rPr>
                          </w:pPr>
                        </w:p>
                        <w:p w:rsidR="002D196B" w:rsidRPr="002D196B" w:rsidRDefault="002D196B" w:rsidP="002D196B">
                          <w:pPr>
                            <w:tabs>
                              <w:tab w:val="center" w:pos="4513"/>
                              <w:tab w:val="right" w:pos="9026"/>
                            </w:tabs>
                            <w:spacing w:after="0" w:line="240" w:lineRule="auto"/>
                            <w:rPr>
                              <w:rFonts w:ascii="Arial" w:eastAsia="Arial" w:hAnsi="Arial" w:cs="Arial"/>
                              <w:color w:val="1F4E79" w:themeColor="accent1" w:themeShade="80"/>
                              <w:sz w:val="16"/>
                              <w:szCs w:val="16"/>
                              <w:u w:val="single"/>
                              <w:lang w:eastAsia="en-NZ"/>
                            </w:rPr>
                          </w:pPr>
                          <w:r>
                            <w:rPr>
                              <w:rFonts w:ascii="Arial" w:eastAsia="Arial" w:hAnsi="Arial" w:cs="Arial"/>
                              <w:color w:val="000000"/>
                              <w:sz w:val="16"/>
                              <w:szCs w:val="16"/>
                              <w:lang w:eastAsia="en-NZ"/>
                            </w:rPr>
                            <w:t>The Action Plan Framework is a</w:t>
                          </w:r>
                          <w:r w:rsidRPr="005D2898">
                            <w:rPr>
                              <w:rFonts w:ascii="Arial" w:eastAsia="Arial" w:hAnsi="Arial" w:cs="Arial"/>
                              <w:color w:val="000000"/>
                              <w:sz w:val="16"/>
                              <w:szCs w:val="16"/>
                              <w:lang w:eastAsia="en-NZ"/>
                            </w:rPr>
                            <w:t>dapted from the e learning Planning Framework. Ministry of Education. Updated Version 2014</w:t>
                          </w:r>
                          <w:r>
                            <w:rPr>
                              <w:rFonts w:ascii="Arial" w:eastAsia="Arial" w:hAnsi="Arial" w:cs="Arial"/>
                              <w:color w:val="000000"/>
                              <w:sz w:val="16"/>
                              <w:szCs w:val="16"/>
                              <w:lang w:eastAsia="en-NZ"/>
                            </w:rPr>
                            <w:t xml:space="preserve"> </w:t>
                          </w:r>
                          <w:proofErr w:type="spellStart"/>
                          <w:r w:rsidRPr="005D2898">
                            <w:rPr>
                              <w:rFonts w:ascii="Arial" w:eastAsia="Arial" w:hAnsi="Arial" w:cs="Arial"/>
                              <w:color w:val="000000"/>
                              <w:sz w:val="16"/>
                              <w:szCs w:val="16"/>
                              <w:lang w:eastAsia="en-NZ"/>
                            </w:rPr>
                            <w:t>Te</w:t>
                          </w:r>
                          <w:proofErr w:type="spellEnd"/>
                          <w:r w:rsidRPr="005D2898">
                            <w:rPr>
                              <w:rFonts w:ascii="Arial" w:eastAsia="Arial" w:hAnsi="Arial" w:cs="Arial"/>
                              <w:color w:val="000000"/>
                              <w:sz w:val="16"/>
                              <w:szCs w:val="16"/>
                              <w:lang w:eastAsia="en-NZ"/>
                            </w:rPr>
                            <w:t xml:space="preserve"> Toi </w:t>
                          </w:r>
                          <w:proofErr w:type="spellStart"/>
                          <w:r w:rsidRPr="005D2898">
                            <w:rPr>
                              <w:rFonts w:ascii="Arial" w:eastAsia="Arial" w:hAnsi="Arial" w:cs="Arial"/>
                              <w:color w:val="000000"/>
                              <w:sz w:val="16"/>
                              <w:szCs w:val="16"/>
                              <w:lang w:eastAsia="en-NZ"/>
                            </w:rPr>
                            <w:t>Tupu</w:t>
                          </w:r>
                          <w:proofErr w:type="spellEnd"/>
                          <w:r w:rsidRPr="005D2898">
                            <w:rPr>
                              <w:rFonts w:ascii="Arial" w:eastAsia="Arial" w:hAnsi="Arial" w:cs="Arial"/>
                              <w:color w:val="000000"/>
                              <w:sz w:val="16"/>
                              <w:szCs w:val="16"/>
                              <w:lang w:eastAsia="en-NZ"/>
                            </w:rPr>
                            <w:t xml:space="preserve"> Consortium, on behalf of the Ministry of Education.</w:t>
                          </w:r>
                          <w:r>
                            <w:rPr>
                              <w:rFonts w:ascii="Arial" w:eastAsia="Arial" w:hAnsi="Arial" w:cs="Arial"/>
                              <w:color w:val="000000"/>
                              <w:sz w:val="16"/>
                              <w:szCs w:val="16"/>
                              <w:lang w:eastAsia="en-NZ"/>
                            </w:rPr>
                            <w:t xml:space="preserve"> </w:t>
                          </w:r>
                          <w:hyperlink r:id="rId2">
                            <w:r w:rsidRPr="002D196B">
                              <w:rPr>
                                <w:rFonts w:ascii="Arial" w:eastAsia="Calibri" w:hAnsi="Arial" w:cs="Arial"/>
                                <w:color w:val="1F4E79" w:themeColor="accent1" w:themeShade="80"/>
                                <w:sz w:val="16"/>
                                <w:szCs w:val="16"/>
                                <w:u w:val="single"/>
                                <w:lang w:eastAsia="en-NZ"/>
                              </w:rPr>
                              <w:t>http://www.elearning.tki.org.nz/Professional-learning/e-Learning-Planning-Framework2/Phases-of-the-e-Learning-Planning-Framework</w:t>
                            </w:r>
                          </w:hyperlink>
                          <w:hyperlink r:id="rId3"/>
                        </w:p>
                        <w:p w:rsidR="002D196B" w:rsidRPr="002D196B" w:rsidRDefault="002D196B" w:rsidP="002D196B">
                          <w:pPr>
                            <w:tabs>
                              <w:tab w:val="center" w:pos="4513"/>
                              <w:tab w:val="right" w:pos="9026"/>
                            </w:tabs>
                            <w:spacing w:after="0" w:line="240" w:lineRule="auto"/>
                            <w:rPr>
                              <w:rFonts w:ascii="Arial" w:eastAsia="Arial" w:hAnsi="Arial" w:cs="Arial"/>
                              <w:color w:val="5B9BD5" w:themeColor="accent1"/>
                              <w:sz w:val="16"/>
                              <w:szCs w:val="16"/>
                              <w:u w:val="single"/>
                              <w:lang w:eastAsia="en-NZ"/>
                            </w:rPr>
                          </w:pPr>
                        </w:p>
                        <w:p w:rsidR="002D196B" w:rsidRPr="002D196B" w:rsidRDefault="002D196B" w:rsidP="002D196B">
                          <w:pPr>
                            <w:tabs>
                              <w:tab w:val="center" w:pos="4513"/>
                              <w:tab w:val="right" w:pos="9026"/>
                            </w:tabs>
                            <w:spacing w:after="0" w:line="240" w:lineRule="auto"/>
                            <w:rPr>
                              <w:rFonts w:ascii="Arial" w:eastAsia="Arial" w:hAnsi="Arial" w:cs="Arial"/>
                              <w:color w:val="000000"/>
                              <w:sz w:val="16"/>
                              <w:szCs w:val="16"/>
                              <w:u w:val="single"/>
                              <w:lang w:eastAsia="en-NZ"/>
                            </w:rPr>
                          </w:pPr>
                        </w:p>
                        <w:p w:rsidR="002D196B" w:rsidRDefault="002D1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A4737" id="_x0000_t202" coordsize="21600,21600" o:spt="202" path="m,l,21600r21600,l21600,xe">
              <v:stroke joinstyle="miter"/>
              <v:path gradientshapeok="t" o:connecttype="rect"/>
            </v:shapetype>
            <v:shape id="Text Box 2" o:spid="_x0000_s1029" type="#_x0000_t202" style="position:absolute;margin-left:1.6pt;margin-top:3.15pt;width:609.5pt;height:7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gdIA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" stroked="f">
              <v:textbox>
                <w:txbxContent>
                  <w:p w:rsidR="002D196B" w:rsidRPr="002D196B" w:rsidRDefault="002D196B" w:rsidP="002D196B">
                    <w:pPr>
                      <w:tabs>
                        <w:tab w:val="center" w:pos="4513"/>
                        <w:tab w:val="right" w:pos="9026"/>
                      </w:tabs>
                      <w:spacing w:after="0" w:line="240" w:lineRule="auto"/>
                      <w:rPr>
                        <w:rFonts w:ascii="Arial" w:eastAsia="Arial" w:hAnsi="Arial" w:cs="Arial"/>
                        <w:color w:val="1F4E79" w:themeColor="accent1" w:themeShade="80"/>
                        <w:sz w:val="16"/>
                        <w:szCs w:val="16"/>
                        <w:lang w:eastAsia="en-NZ"/>
                      </w:rPr>
                    </w:pPr>
                    <w:r w:rsidRPr="002D196B">
                      <w:rPr>
                        <w:rFonts w:ascii="Arial" w:eastAsia="Arial" w:hAnsi="Arial" w:cs="Arial"/>
                        <w:color w:val="000000"/>
                        <w:sz w:val="16"/>
                        <w:szCs w:val="16"/>
                        <w:lang w:eastAsia="en-NZ"/>
                      </w:rPr>
                      <w:t>This resource was developed by the Upper Harbour Sorted Schools, an initiative supported by the Commission for</w:t>
                    </w:r>
                    <w:r>
                      <w:rPr>
                        <w:rFonts w:ascii="Arial" w:eastAsia="Arial" w:hAnsi="Arial" w:cs="Arial"/>
                        <w:color w:val="000000"/>
                        <w:sz w:val="16"/>
                        <w:szCs w:val="16"/>
                        <w:lang w:eastAsia="en-NZ"/>
                      </w:rPr>
                      <w:t xml:space="preserve"> </w:t>
                    </w:r>
                    <w:r w:rsidRPr="002D196B">
                      <w:rPr>
                        <w:rFonts w:ascii="Arial" w:eastAsia="Arial" w:hAnsi="Arial" w:cs="Arial"/>
                        <w:color w:val="000000"/>
                        <w:sz w:val="16"/>
                        <w:szCs w:val="16"/>
                        <w:lang w:eastAsia="en-NZ"/>
                      </w:rPr>
                      <w:t>Financial Capability and designed to broaden the reach of financial education in schools.</w:t>
                    </w:r>
                    <w:r>
                      <w:rPr>
                        <w:rFonts w:ascii="Arial" w:eastAsia="Arial" w:hAnsi="Arial" w:cs="Arial"/>
                        <w:color w:val="000000"/>
                        <w:sz w:val="16"/>
                        <w:szCs w:val="16"/>
                        <w:lang w:eastAsia="en-NZ"/>
                      </w:rPr>
                      <w:t xml:space="preserve"> </w:t>
                    </w:r>
                    <w:hyperlink r:id="rId4" w:history="1">
                      <w:r w:rsidRPr="002D196B">
                        <w:rPr>
                          <w:rStyle w:val="Hyperlink"/>
                          <w:rFonts w:ascii="Arial" w:eastAsia="Arial" w:hAnsi="Arial" w:cs="Arial"/>
                          <w:color w:val="1F4E79" w:themeColor="accent1" w:themeShade="80"/>
                          <w:sz w:val="16"/>
                          <w:szCs w:val="16"/>
                          <w:lang w:eastAsia="en-NZ"/>
                        </w:rPr>
                        <w:t>http://nzcurriculum.tki.org.nz/Curriculum-resources/Financial-capability/Financial-capability-in-action/Getting-started</w:t>
                      </w:r>
                    </w:hyperlink>
                    <w:r w:rsidRPr="002D196B">
                      <w:rPr>
                        <w:rFonts w:ascii="Arial" w:eastAsia="Arial" w:hAnsi="Arial" w:cs="Arial"/>
                        <w:color w:val="1F4E79" w:themeColor="accent1" w:themeShade="80"/>
                        <w:sz w:val="16"/>
                        <w:szCs w:val="16"/>
                        <w:lang w:eastAsia="en-NZ"/>
                      </w:rPr>
                      <w:t xml:space="preserve"> </w:t>
                    </w:r>
                  </w:p>
                  <w:p w:rsidR="002D196B" w:rsidRPr="002D196B" w:rsidRDefault="002D196B" w:rsidP="002D196B">
                    <w:pPr>
                      <w:tabs>
                        <w:tab w:val="center" w:pos="4513"/>
                        <w:tab w:val="right" w:pos="9026"/>
                      </w:tabs>
                      <w:spacing w:after="0" w:line="240" w:lineRule="auto"/>
                      <w:rPr>
                        <w:rFonts w:ascii="Arial" w:eastAsia="Arial" w:hAnsi="Arial" w:cs="Arial"/>
                        <w:color w:val="1F4E79" w:themeColor="accent1" w:themeShade="80"/>
                        <w:sz w:val="16"/>
                        <w:szCs w:val="16"/>
                        <w:lang w:eastAsia="en-NZ"/>
                      </w:rPr>
                    </w:pPr>
                  </w:p>
                  <w:p w:rsidR="002D196B" w:rsidRPr="002D196B" w:rsidRDefault="002D196B" w:rsidP="002D196B">
                    <w:pPr>
                      <w:tabs>
                        <w:tab w:val="center" w:pos="4513"/>
                        <w:tab w:val="right" w:pos="9026"/>
                      </w:tabs>
                      <w:spacing w:after="0" w:line="240" w:lineRule="auto"/>
                      <w:rPr>
                        <w:rFonts w:ascii="Arial" w:eastAsia="Arial" w:hAnsi="Arial" w:cs="Arial"/>
                        <w:color w:val="1F4E79" w:themeColor="accent1" w:themeShade="80"/>
                        <w:sz w:val="16"/>
                        <w:szCs w:val="16"/>
                        <w:u w:val="single"/>
                        <w:lang w:eastAsia="en-NZ"/>
                      </w:rPr>
                    </w:pPr>
                    <w:r>
                      <w:rPr>
                        <w:rFonts w:ascii="Arial" w:eastAsia="Arial" w:hAnsi="Arial" w:cs="Arial"/>
                        <w:color w:val="000000"/>
                        <w:sz w:val="16"/>
                        <w:szCs w:val="16"/>
                        <w:lang w:eastAsia="en-NZ"/>
                      </w:rPr>
                      <w:t>The Action Plan Framework is a</w:t>
                    </w:r>
                    <w:r w:rsidRPr="005D2898">
                      <w:rPr>
                        <w:rFonts w:ascii="Arial" w:eastAsia="Arial" w:hAnsi="Arial" w:cs="Arial"/>
                        <w:color w:val="000000"/>
                        <w:sz w:val="16"/>
                        <w:szCs w:val="16"/>
                        <w:lang w:eastAsia="en-NZ"/>
                      </w:rPr>
                      <w:t>dapted from the e learning Planning Framework. Ministry of Education. Updated Version 2014</w:t>
                    </w:r>
                    <w:r>
                      <w:rPr>
                        <w:rFonts w:ascii="Arial" w:eastAsia="Arial" w:hAnsi="Arial" w:cs="Arial"/>
                        <w:color w:val="000000"/>
                        <w:sz w:val="16"/>
                        <w:szCs w:val="16"/>
                        <w:lang w:eastAsia="en-NZ"/>
                      </w:rPr>
                      <w:t xml:space="preserve"> </w:t>
                    </w:r>
                    <w:proofErr w:type="spellStart"/>
                    <w:r w:rsidRPr="005D2898">
                      <w:rPr>
                        <w:rFonts w:ascii="Arial" w:eastAsia="Arial" w:hAnsi="Arial" w:cs="Arial"/>
                        <w:color w:val="000000"/>
                        <w:sz w:val="16"/>
                        <w:szCs w:val="16"/>
                        <w:lang w:eastAsia="en-NZ"/>
                      </w:rPr>
                      <w:t>Te</w:t>
                    </w:r>
                    <w:proofErr w:type="spellEnd"/>
                    <w:r w:rsidRPr="005D2898">
                      <w:rPr>
                        <w:rFonts w:ascii="Arial" w:eastAsia="Arial" w:hAnsi="Arial" w:cs="Arial"/>
                        <w:color w:val="000000"/>
                        <w:sz w:val="16"/>
                        <w:szCs w:val="16"/>
                        <w:lang w:eastAsia="en-NZ"/>
                      </w:rPr>
                      <w:t xml:space="preserve"> Toi </w:t>
                    </w:r>
                    <w:proofErr w:type="spellStart"/>
                    <w:r w:rsidRPr="005D2898">
                      <w:rPr>
                        <w:rFonts w:ascii="Arial" w:eastAsia="Arial" w:hAnsi="Arial" w:cs="Arial"/>
                        <w:color w:val="000000"/>
                        <w:sz w:val="16"/>
                        <w:szCs w:val="16"/>
                        <w:lang w:eastAsia="en-NZ"/>
                      </w:rPr>
                      <w:t>Tupu</w:t>
                    </w:r>
                    <w:proofErr w:type="spellEnd"/>
                    <w:r w:rsidRPr="005D2898">
                      <w:rPr>
                        <w:rFonts w:ascii="Arial" w:eastAsia="Arial" w:hAnsi="Arial" w:cs="Arial"/>
                        <w:color w:val="000000"/>
                        <w:sz w:val="16"/>
                        <w:szCs w:val="16"/>
                        <w:lang w:eastAsia="en-NZ"/>
                      </w:rPr>
                      <w:t xml:space="preserve"> Consortium, on behalf of the Ministry of Education.</w:t>
                    </w:r>
                    <w:r>
                      <w:rPr>
                        <w:rFonts w:ascii="Arial" w:eastAsia="Arial" w:hAnsi="Arial" w:cs="Arial"/>
                        <w:color w:val="000000"/>
                        <w:sz w:val="16"/>
                        <w:szCs w:val="16"/>
                        <w:lang w:eastAsia="en-NZ"/>
                      </w:rPr>
                      <w:t xml:space="preserve"> </w:t>
                    </w:r>
                    <w:hyperlink r:id="rId5">
                      <w:r w:rsidRPr="002D196B">
                        <w:rPr>
                          <w:rFonts w:ascii="Arial" w:eastAsia="Calibri" w:hAnsi="Arial" w:cs="Arial"/>
                          <w:color w:val="1F4E79" w:themeColor="accent1" w:themeShade="80"/>
                          <w:sz w:val="16"/>
                          <w:szCs w:val="16"/>
                          <w:u w:val="single"/>
                          <w:lang w:eastAsia="en-NZ"/>
                        </w:rPr>
                        <w:t>http://www.elearning.tki.org.nz/Professional-learning/e-Learning-Planning-Framework2/Phases-of-the-e-Learning-Planning-Framework</w:t>
                      </w:r>
                    </w:hyperlink>
                    <w:hyperlink r:id="rId6"/>
                  </w:p>
                  <w:p w:rsidR="002D196B" w:rsidRPr="002D196B" w:rsidRDefault="002D196B" w:rsidP="002D196B">
                    <w:pPr>
                      <w:tabs>
                        <w:tab w:val="center" w:pos="4513"/>
                        <w:tab w:val="right" w:pos="9026"/>
                      </w:tabs>
                      <w:spacing w:after="0" w:line="240" w:lineRule="auto"/>
                      <w:rPr>
                        <w:rFonts w:ascii="Arial" w:eastAsia="Arial" w:hAnsi="Arial" w:cs="Arial"/>
                        <w:color w:val="5B9BD5" w:themeColor="accent1"/>
                        <w:sz w:val="16"/>
                        <w:szCs w:val="16"/>
                        <w:u w:val="single"/>
                        <w:lang w:eastAsia="en-NZ"/>
                      </w:rPr>
                    </w:pPr>
                  </w:p>
                  <w:p w:rsidR="002D196B" w:rsidRPr="002D196B" w:rsidRDefault="002D196B" w:rsidP="002D196B">
                    <w:pPr>
                      <w:tabs>
                        <w:tab w:val="center" w:pos="4513"/>
                        <w:tab w:val="right" w:pos="9026"/>
                      </w:tabs>
                      <w:spacing w:after="0" w:line="240" w:lineRule="auto"/>
                      <w:rPr>
                        <w:rFonts w:ascii="Arial" w:eastAsia="Arial" w:hAnsi="Arial" w:cs="Arial"/>
                        <w:color w:val="000000"/>
                        <w:sz w:val="16"/>
                        <w:szCs w:val="16"/>
                        <w:u w:val="single"/>
                        <w:lang w:eastAsia="en-NZ"/>
                      </w:rPr>
                    </w:pPr>
                  </w:p>
                  <w:p w:rsidR="002D196B" w:rsidRDefault="002D196B"/>
                </w:txbxContent>
              </v:textbox>
              <w10:wrap type="square"/>
            </v:shape>
          </w:pict>
        </mc:Fallback>
      </mc:AlternateContent>
    </w:r>
    <w:r>
      <w:rPr>
        <w:rFonts w:ascii="Arial" w:eastAsia="Arial" w:hAnsi="Arial" w:cs="Arial"/>
        <w:noProof/>
        <w:color w:val="000000"/>
        <w:sz w:val="16"/>
        <w:szCs w:val="16"/>
        <w:lang w:eastAsia="en-NZ"/>
      </w:rPr>
      <w:drawing>
        <wp:inline distT="0" distB="0" distL="0" distR="0" wp14:anchorId="349760E9" wp14:editId="2E6D8DA2">
          <wp:extent cx="1909532"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7">
                    <a:extLst>
                      <a:ext uri="{28A0092B-C50C-407E-A947-70E740481C1C}">
                        <a14:useLocalDpi xmlns:a14="http://schemas.microsoft.com/office/drawing/2010/main" val="0"/>
                      </a:ext>
                    </a:extLst>
                  </a:blip>
                  <a:stretch>
                    <a:fillRect/>
                  </a:stretch>
                </pic:blipFill>
                <pic:spPr>
                  <a:xfrm>
                    <a:off x="0" y="0"/>
                    <a:ext cx="2022042" cy="6125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46" w:rsidRDefault="00574046" w:rsidP="005D2898">
      <w:pPr>
        <w:spacing w:after="0" w:line="240" w:lineRule="auto"/>
      </w:pPr>
      <w:r>
        <w:separator/>
      </w:r>
    </w:p>
  </w:footnote>
  <w:footnote w:type="continuationSeparator" w:id="0">
    <w:p w:rsidR="00574046" w:rsidRDefault="00574046" w:rsidP="005D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98" w:rsidRDefault="005D2898" w:rsidP="005D2898">
    <w:pPr>
      <w:spacing w:after="0" w:line="276" w:lineRule="auto"/>
      <w:rPr>
        <w:rFonts w:ascii="Arial" w:eastAsia="Arial" w:hAnsi="Arial" w:cs="Arial"/>
        <w:b/>
        <w:color w:val="000000"/>
        <w:sz w:val="16"/>
        <w:szCs w:val="16"/>
        <w:lang w:eastAsia="en-NZ"/>
      </w:rPr>
    </w:pPr>
    <w:r w:rsidRPr="005D2898">
      <w:rPr>
        <w:rFonts w:ascii="Arial" w:eastAsia="Arial" w:hAnsi="Arial" w:cs="Arial"/>
        <w:b/>
        <w:color w:val="000000"/>
        <w:sz w:val="16"/>
        <w:szCs w:val="16"/>
        <w:lang w:eastAsia="en-NZ"/>
      </w:rPr>
      <w:t xml:space="preserve">Financial Capability Action Plan Framework </w:t>
    </w:r>
  </w:p>
  <w:p w:rsidR="003E6897" w:rsidRPr="005D2898" w:rsidRDefault="003E6897" w:rsidP="005D2898">
    <w:pPr>
      <w:spacing w:after="0" w:line="276" w:lineRule="auto"/>
      <w:rPr>
        <w:rFonts w:ascii="Arial" w:eastAsia="Arial" w:hAnsi="Arial" w:cs="Arial"/>
        <w:b/>
        <w:color w:val="000000"/>
        <w:sz w:val="16"/>
        <w:szCs w:val="16"/>
        <w:lang w:eastAsia="en-NZ"/>
      </w:rPr>
    </w:pPr>
  </w:p>
  <w:p w:rsidR="005D2898" w:rsidRPr="005D2898" w:rsidRDefault="00DA3BC6" w:rsidP="005D2898">
    <w:pPr>
      <w:spacing w:after="0" w:line="288" w:lineRule="auto"/>
      <w:rPr>
        <w:rFonts w:ascii="Trebuchet MS" w:eastAsia="Trebuchet MS" w:hAnsi="Trebuchet MS" w:cs="Trebuchet MS"/>
        <w:color w:val="000000"/>
        <w:sz w:val="16"/>
        <w:szCs w:val="16"/>
        <w:lang w:eastAsia="en-NZ"/>
      </w:rPr>
    </w:pPr>
    <w:r>
      <w:rPr>
        <w:rFonts w:ascii="Calibri" w:eastAsia="Calibri" w:hAnsi="Calibri" w:cs="Calibri"/>
        <w:b/>
        <w:color w:val="000000"/>
        <w:sz w:val="16"/>
        <w:szCs w:val="16"/>
        <w:lang w:eastAsia="en-NZ"/>
      </w:rPr>
      <w:t>Goals</w:t>
    </w:r>
    <w:r w:rsidR="005D2898" w:rsidRPr="005D2898">
      <w:rPr>
        <w:rFonts w:ascii="Calibri" w:eastAsia="Calibri" w:hAnsi="Calibri" w:cs="Calibri"/>
        <w:b/>
        <w:color w:val="000000"/>
        <w:sz w:val="16"/>
        <w:szCs w:val="16"/>
        <w:lang w:eastAsia="en-NZ"/>
      </w:rPr>
      <w:t xml:space="preserve">: </w:t>
    </w:r>
    <w:r w:rsidR="005D2898" w:rsidRPr="005D2898">
      <w:rPr>
        <w:rFonts w:ascii="Trebuchet MS" w:eastAsia="Trebuchet MS" w:hAnsi="Trebuchet MS" w:cs="Trebuchet MS"/>
        <w:color w:val="000000"/>
        <w:sz w:val="16"/>
        <w:szCs w:val="16"/>
        <w:highlight w:val="white"/>
        <w:lang w:eastAsia="en-NZ"/>
      </w:rPr>
      <w:t>1. Increased capability and confidence in financial capability for students.</w:t>
    </w:r>
    <w:r>
      <w:rPr>
        <w:rFonts w:ascii="Trebuchet MS" w:eastAsia="Trebuchet MS" w:hAnsi="Trebuchet MS" w:cs="Trebuchet MS"/>
        <w:color w:val="000000"/>
        <w:sz w:val="16"/>
        <w:szCs w:val="16"/>
        <w:highlight w:val="white"/>
        <w:lang w:eastAsia="en-NZ"/>
      </w:rPr>
      <w:t xml:space="preserve"> </w:t>
    </w:r>
    <w:r w:rsidR="005D2898" w:rsidRPr="005D2898">
      <w:rPr>
        <w:rFonts w:ascii="Trebuchet MS" w:eastAsia="Trebuchet MS" w:hAnsi="Trebuchet MS" w:cs="Trebuchet MS"/>
        <w:color w:val="000000"/>
        <w:sz w:val="16"/>
        <w:szCs w:val="16"/>
        <w:highlight w:val="white"/>
        <w:lang w:eastAsia="en-NZ"/>
      </w:rPr>
      <w:t>2. Increased capability and confidence in financial capability for teachers.</w:t>
    </w:r>
    <w:r>
      <w:rPr>
        <w:rFonts w:ascii="Trebuchet MS" w:eastAsia="Trebuchet MS" w:hAnsi="Trebuchet MS" w:cs="Trebuchet MS"/>
        <w:color w:val="000000"/>
        <w:sz w:val="16"/>
        <w:szCs w:val="16"/>
        <w:highlight w:val="white"/>
        <w:lang w:eastAsia="en-NZ"/>
      </w:rPr>
      <w:t xml:space="preserve"> </w:t>
    </w:r>
    <w:r w:rsidR="005D2898" w:rsidRPr="005D2898">
      <w:rPr>
        <w:rFonts w:ascii="Trebuchet MS" w:eastAsia="Trebuchet MS" w:hAnsi="Trebuchet MS" w:cs="Trebuchet MS"/>
        <w:color w:val="000000"/>
        <w:sz w:val="16"/>
        <w:szCs w:val="16"/>
        <w:highlight w:val="white"/>
        <w:lang w:eastAsia="en-NZ"/>
      </w:rPr>
      <w:t xml:space="preserve">3. Provide opportunities for </w:t>
    </w:r>
    <w:proofErr w:type="spellStart"/>
    <w:r w:rsidR="005D2898" w:rsidRPr="005D2898">
      <w:rPr>
        <w:rFonts w:ascii="Trebuchet MS" w:eastAsia="Trebuchet MS" w:hAnsi="Trebuchet MS" w:cs="Trebuchet MS"/>
        <w:color w:val="000000"/>
        <w:sz w:val="16"/>
        <w:szCs w:val="16"/>
        <w:highlight w:val="white"/>
        <w:lang w:eastAsia="en-NZ"/>
      </w:rPr>
      <w:t>w</w:t>
    </w:r>
    <w:r w:rsidR="005D2898" w:rsidRPr="00DA3BC6">
      <w:rPr>
        <w:rFonts w:ascii="Trebuchet MS" w:eastAsia="Trebuchet MS" w:hAnsi="Trebuchet MS" w:cs="Trebuchet MS"/>
        <w:color w:val="000000"/>
        <w:sz w:val="16"/>
        <w:szCs w:val="16"/>
        <w:highlight w:val="white"/>
        <w:lang w:eastAsia="en-NZ"/>
      </w:rPr>
      <w:t>h</w:t>
    </w:r>
    <w:r w:rsidRPr="00DA3BC6">
      <w:rPr>
        <w:rStyle w:val="tgc"/>
        <w:rFonts w:ascii="Trebuchet MS" w:hAnsi="Trebuchet MS"/>
        <w:sz w:val="16"/>
        <w:szCs w:val="16"/>
      </w:rPr>
      <w:t>ā</w:t>
    </w:r>
    <w:r w:rsidR="005D2898" w:rsidRPr="00DA3BC6">
      <w:rPr>
        <w:rFonts w:ascii="Trebuchet MS" w:eastAsia="Trebuchet MS" w:hAnsi="Trebuchet MS" w:cs="Trebuchet MS"/>
        <w:color w:val="000000"/>
        <w:sz w:val="16"/>
        <w:szCs w:val="16"/>
        <w:highlight w:val="white"/>
        <w:lang w:eastAsia="en-NZ"/>
      </w:rPr>
      <w:t>n</w:t>
    </w:r>
    <w:r w:rsidR="005D2898" w:rsidRPr="005D2898">
      <w:rPr>
        <w:rFonts w:ascii="Trebuchet MS" w:eastAsia="Trebuchet MS" w:hAnsi="Trebuchet MS" w:cs="Trebuchet MS"/>
        <w:color w:val="000000"/>
        <w:sz w:val="16"/>
        <w:szCs w:val="16"/>
        <w:highlight w:val="white"/>
        <w:lang w:eastAsia="en-NZ"/>
      </w:rPr>
      <w:t>au</w:t>
    </w:r>
    <w:proofErr w:type="spellEnd"/>
    <w:r w:rsidR="005D2898" w:rsidRPr="005D2898">
      <w:rPr>
        <w:rFonts w:ascii="Trebuchet MS" w:eastAsia="Trebuchet MS" w:hAnsi="Trebuchet MS" w:cs="Trebuchet MS"/>
        <w:color w:val="000000"/>
        <w:sz w:val="16"/>
        <w:szCs w:val="16"/>
        <w:highlight w:val="white"/>
        <w:lang w:eastAsia="en-NZ"/>
      </w:rPr>
      <w:t>/community through real life contexts to improve financial capability and confidence.</w:t>
    </w:r>
    <w:r>
      <w:rPr>
        <w:rFonts w:ascii="Trebuchet MS" w:eastAsia="Trebuchet MS" w:hAnsi="Trebuchet MS" w:cs="Trebuchet MS"/>
        <w:color w:val="000000"/>
        <w:sz w:val="16"/>
        <w:szCs w:val="16"/>
        <w:highlight w:val="white"/>
        <w:lang w:eastAsia="en-NZ"/>
      </w:rPr>
      <w:t xml:space="preserve"> </w:t>
    </w:r>
    <w:r w:rsidR="005D2898" w:rsidRPr="005D2898">
      <w:rPr>
        <w:rFonts w:ascii="Trebuchet MS" w:eastAsia="Trebuchet MS" w:hAnsi="Trebuchet MS" w:cs="Trebuchet MS"/>
        <w:color w:val="000000"/>
        <w:sz w:val="16"/>
        <w:szCs w:val="16"/>
        <w:highlight w:val="white"/>
        <w:lang w:eastAsia="en-NZ"/>
      </w:rPr>
      <w:t>4. Collaborative practices in schools and cluster</w:t>
    </w:r>
    <w:r>
      <w:rPr>
        <w:rFonts w:ascii="Trebuchet MS" w:eastAsia="Trebuchet MS" w:hAnsi="Trebuchet MS" w:cs="Trebuchet MS"/>
        <w:color w:val="000000"/>
        <w:sz w:val="16"/>
        <w:szCs w:val="16"/>
        <w:highlight w:val="white"/>
        <w:lang w:eastAsia="en-NZ"/>
      </w:rPr>
      <w:t>s</w:t>
    </w:r>
    <w:r w:rsidR="005D2898" w:rsidRPr="005D2898">
      <w:rPr>
        <w:rFonts w:ascii="Trebuchet MS" w:eastAsia="Trebuchet MS" w:hAnsi="Trebuchet MS" w:cs="Trebuchet MS"/>
        <w:color w:val="000000"/>
        <w:sz w:val="16"/>
        <w:szCs w:val="16"/>
        <w:highlight w:val="white"/>
        <w:lang w:eastAsia="en-NZ"/>
      </w:rPr>
      <w:t xml:space="preserve"> for developing financial capability.</w:t>
    </w:r>
  </w:p>
  <w:p w:rsidR="005D2898" w:rsidRDefault="005D2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D5AAB"/>
    <w:multiLevelType w:val="hybridMultilevel"/>
    <w:tmpl w:val="20AE2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0"/>
    <w:rsid w:val="001A445E"/>
    <w:rsid w:val="001C6E96"/>
    <w:rsid w:val="0020181A"/>
    <w:rsid w:val="002C6BC5"/>
    <w:rsid w:val="002D196B"/>
    <w:rsid w:val="003E6897"/>
    <w:rsid w:val="00402F97"/>
    <w:rsid w:val="00407710"/>
    <w:rsid w:val="00466065"/>
    <w:rsid w:val="00574046"/>
    <w:rsid w:val="0058105D"/>
    <w:rsid w:val="005D2898"/>
    <w:rsid w:val="0076031D"/>
    <w:rsid w:val="008E31D7"/>
    <w:rsid w:val="009D04DF"/>
    <w:rsid w:val="00A909C0"/>
    <w:rsid w:val="00A97B00"/>
    <w:rsid w:val="00C5721C"/>
    <w:rsid w:val="00DA3BC6"/>
    <w:rsid w:val="00E4666E"/>
    <w:rsid w:val="00E80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6FF130-59CA-4DEB-8B7E-3420DF1B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402F97"/>
    <w:pPr>
      <w:keepNext/>
      <w:keepLines/>
      <w:spacing w:before="160" w:after="0" w:line="276" w:lineRule="auto"/>
      <w:contextualSpacing/>
      <w:outlineLvl w:val="3"/>
    </w:pPr>
    <w:rPr>
      <w:rFonts w:ascii="Trebuchet MS" w:eastAsia="Trebuchet MS" w:hAnsi="Trebuchet MS" w:cs="Trebuchet MS"/>
      <w:color w:val="666666"/>
      <w:szCs w:val="20"/>
      <w:u w:val="single"/>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D2898"/>
    <w:pPr>
      <w:spacing w:after="0" w:line="240" w:lineRule="auto"/>
    </w:pPr>
    <w:rPr>
      <w:rFonts w:ascii="Arial" w:eastAsia="Arial" w:hAnsi="Arial" w:cs="Arial"/>
      <w:color w:val="000000"/>
      <w:lang w:eastAsia="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D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898"/>
  </w:style>
  <w:style w:type="paragraph" w:styleId="Footer">
    <w:name w:val="footer"/>
    <w:basedOn w:val="Normal"/>
    <w:link w:val="FooterChar"/>
    <w:uiPriority w:val="99"/>
    <w:unhideWhenUsed/>
    <w:rsid w:val="005D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898"/>
  </w:style>
  <w:style w:type="character" w:customStyle="1" w:styleId="Heading4Char">
    <w:name w:val="Heading 4 Char"/>
    <w:basedOn w:val="DefaultParagraphFont"/>
    <w:link w:val="Heading4"/>
    <w:rsid w:val="00402F97"/>
    <w:rPr>
      <w:rFonts w:ascii="Trebuchet MS" w:eastAsia="Trebuchet MS" w:hAnsi="Trebuchet MS" w:cs="Trebuchet MS"/>
      <w:color w:val="666666"/>
      <w:szCs w:val="20"/>
      <w:u w:val="single"/>
      <w:lang w:eastAsia="en-NZ"/>
    </w:rPr>
  </w:style>
  <w:style w:type="table" w:styleId="TableGrid">
    <w:name w:val="Table Grid"/>
    <w:basedOn w:val="TableNormal"/>
    <w:uiPriority w:val="39"/>
    <w:rsid w:val="001A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A3BC6"/>
  </w:style>
  <w:style w:type="paragraph" w:styleId="ListParagraph">
    <w:name w:val="List Paragraph"/>
    <w:basedOn w:val="Normal"/>
    <w:uiPriority w:val="34"/>
    <w:qFormat/>
    <w:rsid w:val="009D04DF"/>
    <w:pPr>
      <w:ind w:left="720"/>
      <w:contextualSpacing/>
    </w:pPr>
  </w:style>
  <w:style w:type="character" w:styleId="Hyperlink">
    <w:name w:val="Hyperlink"/>
    <w:basedOn w:val="DefaultParagraphFont"/>
    <w:uiPriority w:val="99"/>
    <w:unhideWhenUsed/>
    <w:rsid w:val="002D1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cdenver.com/useguide/cba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cdenver.com/useguide/cbam.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mcdenver.com/useguide/cbam.htm" TargetMode="External"/><Relationship Id="rId4" Type="http://schemas.openxmlformats.org/officeDocument/2006/relationships/webSettings" Target="webSettings.xml"/><Relationship Id="rId9" Type="http://schemas.openxmlformats.org/officeDocument/2006/relationships/hyperlink" Target="http://www.rmcdenver.com/useguide/cbam.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learning.tki.org.nz/Professional-learning/e-Learning-Planning-Framework2/Phases-of-the-e-Learning-Planning-Framework" TargetMode="External"/><Relationship Id="rId7" Type="http://schemas.openxmlformats.org/officeDocument/2006/relationships/image" Target="media/image1.jpg"/><Relationship Id="rId2" Type="http://schemas.openxmlformats.org/officeDocument/2006/relationships/hyperlink" Target="http://www.elearning.tki.org.nz/Professional-learning/e-Learning-Planning-Framework2/Phases-of-the-e-Learning-Planning-Framework" TargetMode="External"/><Relationship Id="rId1" Type="http://schemas.openxmlformats.org/officeDocument/2006/relationships/hyperlink" Target="http://nzcurriculum.tki.org.nz/Curriculum-resources/Financial-capability/Financial-capability-in-action/Getting-started" TargetMode="External"/><Relationship Id="rId6" Type="http://schemas.openxmlformats.org/officeDocument/2006/relationships/hyperlink" Target="http://www.elearning.tki.org.nz/Professional-learning/e-Learning-Planning-Framework2/Phases-of-the-e-Learning-Planning-Framework" TargetMode="External"/><Relationship Id="rId5" Type="http://schemas.openxmlformats.org/officeDocument/2006/relationships/hyperlink" Target="http://www.elearning.tki.org.nz/Professional-learning/e-Learning-Planning-Framework2/Phases-of-the-e-Learning-Planning-Framework" TargetMode="External"/><Relationship Id="rId4" Type="http://schemas.openxmlformats.org/officeDocument/2006/relationships/hyperlink" Target="http://nzcurriculum.tki.org.nz/Curriculum-resources/Financial-capability/Financial-capability-in-action/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Mills</dc:creator>
  <cp:keywords/>
  <dc:description/>
  <cp:lastModifiedBy>Adele O'Leary</cp:lastModifiedBy>
  <cp:revision>2</cp:revision>
  <dcterms:created xsi:type="dcterms:W3CDTF">2016-06-03T08:12:00Z</dcterms:created>
  <dcterms:modified xsi:type="dcterms:W3CDTF">2016-06-03T08:12:00Z</dcterms:modified>
</cp:coreProperties>
</file>